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7A7460"/>
          <w:spacing w:val="60"/>
          <w:sz w:val="17"/>
          <w:szCs w:val="17"/>
        </w:rPr>
        <w:t xml:space="preserve">EXECUTIVE SUMMARY — DOCUMENT 00.1  |  DATA ROOM</w:t>
      </w:r>
    </w:p>
    <w:p>
      <w:pPr>
        <w:spacing w:after="20"/>
      </w:pPr>
      <w:r>
        <w:rPr>
          <w:rFonts w:ascii="Georgia" w:cs="Georgia" w:eastAsia="Georgia" w:hAnsi="Georgia"/>
          <w:b/>
          <w:bCs/>
          <w:color w:val="1A1612"/>
          <w:sz w:val="48"/>
          <w:szCs w:val="48"/>
        </w:rPr>
        <w:t xml:space="preserve">JINGO GOLD PROJECT</w:t>
      </w:r>
    </w:p>
    <w:p>
      <w:pPr>
        <w:spacing w:after="40"/>
      </w:pPr>
      <w:r>
        <w:rPr>
          <w:rFonts w:ascii="Georgia" w:cs="Georgia" w:eastAsia="Georgia" w:hAnsi="Georgia"/>
          <w:i/>
          <w:iCs/>
          <w:color w:val="8B6C12"/>
          <w:sz w:val="26"/>
          <w:szCs w:val="26"/>
        </w:rPr>
        <w:t xml:space="preserve">Pine Grove Mining District, Elmore County, Idaho, U.S.A.</w:t>
      </w:r>
    </w:p>
    <w:p>
      <w:pPr>
        <w:pBdr>
          <w:bottom w:val="single" w:color="C5A028" w:sz="24" w:space="1"/>
        </w:pBdr>
        <w:spacing w:after="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8D0B5" w:sz="4"/>
              <w:left w:val="single" w:color="D8D0B5" w:sz="4"/>
              <w:bottom w:val="single" w:color="D8D0B5" w:sz="4"/>
              <w:right w:val="single" w:color="D8D0B5" w:sz="4"/>
            </w:tcBorders>
            <w:shd w:fill="1A1612" w:val="clear"/>
            <w:tcMar>
              <w:top w:type="dxa" w:w="220"/>
              <w:left w:type="dxa" w:w="180"/>
              <w:bottom w:type="dxa" w:w="220"/>
              <w:right w:type="dxa" w:w="180"/>
            </w:tcMar>
          </w:tcPr>
          <w:p>
            <w:pPr>
              <w:spacing w:after="60"/>
              <w:jc w:val="center"/>
            </w:pPr>
            <w:r>
              <w:rPr>
                <w:rFonts w:ascii="Georgia" w:cs="Georgia" w:eastAsia="Georgia" w:hAnsi="Georgia"/>
                <w:b/>
                <w:bCs/>
                <w:color w:val="C5A028"/>
                <w:sz w:val="40"/>
                <w:szCs w:val="40"/>
              </w:rPr>
              <w:t xml:space="preserve">1.28 oz/t</w:t>
            </w:r>
          </w:p>
          <w:p>
            <w:pPr>
              <w:jc w:val="center"/>
            </w:pPr>
            <w:r>
              <w:rPr>
                <w:rFonts w:ascii="Calibri" w:cs="Calibri" w:eastAsia="Calibri" w:hAnsi="Calibri"/>
                <w:color w:val="F0E8D0"/>
                <w:sz w:val="18"/>
                <w:szCs w:val="18"/>
              </w:rPr>
              <w:t xml:space="preserve">Au — Historic Shipping
153 t · 1933</w:t>
            </w:r>
          </w:p>
        </w:tc>
        <w:tc>
          <w:tcPr>
            <w:tcW w:type="dxa" w:w="2340"/>
            <w:tcBorders>
              <w:top w:val="single" w:color="D8D0B5" w:sz="4"/>
              <w:left w:val="single" w:color="D8D0B5" w:sz="4"/>
              <w:bottom w:val="single" w:color="D8D0B5" w:sz="4"/>
              <w:right w:val="single" w:color="D8D0B5" w:sz="4"/>
            </w:tcBorders>
            <w:shd w:fill="1A1612" w:val="clear"/>
            <w:tcMar>
              <w:top w:type="dxa" w:w="220"/>
              <w:left w:type="dxa" w:w="180"/>
              <w:bottom w:type="dxa" w:w="220"/>
              <w:right w:type="dxa" w:w="180"/>
            </w:tcMar>
          </w:tcPr>
          <w:p>
            <w:pPr>
              <w:spacing w:after="60"/>
              <w:jc w:val="center"/>
            </w:pPr>
            <w:r>
              <w:rPr>
                <w:rFonts w:ascii="Georgia" w:cs="Georgia" w:eastAsia="Georgia" w:hAnsi="Georgia"/>
                <w:b/>
                <w:bCs/>
                <w:color w:val="C5A028"/>
                <w:sz w:val="40"/>
                <w:szCs w:val="40"/>
              </w:rPr>
              <w:t xml:space="preserve">1.057 oz/t</w:t>
            </w:r>
          </w:p>
          <w:p>
            <w:pPr>
              <w:jc w:val="center"/>
            </w:pPr>
            <w:r>
              <w:rPr>
                <w:rFonts w:ascii="Calibri" w:cs="Calibri" w:eastAsia="Calibri" w:hAnsi="Calibri"/>
                <w:color w:val="F0E8D0"/>
                <w:sz w:val="18"/>
                <w:szCs w:val="18"/>
              </w:rPr>
              <w:t xml:space="preserve">Au — Peak Modern Sample
11.25 oz/t Ag · 1985</w:t>
            </w:r>
          </w:p>
        </w:tc>
        <w:tc>
          <w:tcPr>
            <w:tcW w:type="dxa" w:w="2340"/>
            <w:tcBorders>
              <w:top w:val="single" w:color="D8D0B5" w:sz="4"/>
              <w:left w:val="single" w:color="D8D0B5" w:sz="4"/>
              <w:bottom w:val="single" w:color="D8D0B5" w:sz="4"/>
              <w:right w:val="single" w:color="D8D0B5" w:sz="4"/>
            </w:tcBorders>
            <w:shd w:fill="1A1612" w:val="clear"/>
            <w:tcMar>
              <w:top w:type="dxa" w:w="220"/>
              <w:left w:type="dxa" w:w="180"/>
              <w:bottom w:type="dxa" w:w="220"/>
              <w:right w:type="dxa" w:w="180"/>
            </w:tcMar>
          </w:tcPr>
          <w:p>
            <w:pPr>
              <w:spacing w:after="60"/>
              <w:jc w:val="center"/>
            </w:pPr>
            <w:r>
              <w:rPr>
                <w:rFonts w:ascii="Georgia" w:cs="Georgia" w:eastAsia="Georgia" w:hAnsi="Georgia"/>
                <w:b/>
                <w:bCs/>
                <w:color w:val="C5A028"/>
                <w:sz w:val="40"/>
                <w:szCs w:val="40"/>
              </w:rPr>
              <w:t xml:space="preserve">~600 ft</w:t>
            </w:r>
          </w:p>
          <w:p>
            <w:pPr>
              <w:jc w:val="center"/>
            </w:pPr>
            <w:r>
              <w:rPr>
                <w:rFonts w:ascii="Calibri" w:cs="Calibri" w:eastAsia="Calibri" w:hAnsi="Calibri"/>
                <w:color w:val="F0E8D0"/>
                <w:sz w:val="18"/>
                <w:szCs w:val="18"/>
              </w:rPr>
              <w:t xml:space="preserve">Underground Workings
Direct vein access</w:t>
            </w:r>
          </w:p>
        </w:tc>
        <w:tc>
          <w:tcPr>
            <w:tcW w:type="dxa" w:w="2340"/>
            <w:tcBorders>
              <w:top w:val="single" w:color="D8D0B5" w:sz="4"/>
              <w:left w:val="single" w:color="D8D0B5" w:sz="4"/>
              <w:bottom w:val="single" w:color="D8D0B5" w:sz="4"/>
              <w:right w:val="single" w:color="D8D0B5" w:sz="4"/>
            </w:tcBorders>
            <w:shd w:fill="1A1612" w:val="clear"/>
            <w:tcMar>
              <w:top w:type="dxa" w:w="220"/>
              <w:left w:type="dxa" w:w="180"/>
              <w:bottom w:type="dxa" w:w="220"/>
              <w:right w:type="dxa" w:w="180"/>
            </w:tcMar>
          </w:tcPr>
          <w:p>
            <w:pPr>
              <w:spacing w:after="60"/>
              <w:jc w:val="center"/>
            </w:pPr>
            <w:r>
              <w:rPr>
                <w:rFonts w:ascii="Georgia" w:cs="Georgia" w:eastAsia="Georgia" w:hAnsi="Georgia"/>
                <w:b/>
                <w:bCs/>
                <w:color w:val="C5A028"/>
                <w:sz w:val="40"/>
                <w:szCs w:val="40"/>
              </w:rPr>
              <w:t xml:space="preserve">0</w:t>
            </w:r>
          </w:p>
          <w:p>
            <w:pPr>
              <w:jc w:val="center"/>
            </w:pPr>
            <w:r>
              <w:rPr>
                <w:rFonts w:ascii="Calibri" w:cs="Calibri" w:eastAsia="Calibri" w:hAnsi="Calibri"/>
                <w:color w:val="F0E8D0"/>
                <w:sz w:val="18"/>
                <w:szCs w:val="18"/>
              </w:rPr>
              <w:t xml:space="preserve">Modern Drill Holes
Depth untested</w:t>
            </w:r>
          </w:p>
        </w:tc>
      </w:tr>
    </w:tbl>
    <w:p>
      <w:pPr>
        <w:spacing w:after="280"/>
      </w:pPr>
    </w:p>
    <w:p>
      <w:pPr>
        <w:pStyle w:val="Heading1"/>
        <w:spacing w:after="180" w:before="360"/>
      </w:pPr>
      <w:r>
        <w:rPr>
          <w:rFonts w:ascii="Georgia" w:cs="Georgia" w:eastAsia="Georgia" w:hAnsi="Georgia"/>
          <w:b/>
          <w:bCs/>
          <w:color w:val="1A1612"/>
          <w:sz w:val="32"/>
          <w:szCs w:val="32"/>
        </w:rPr>
        <w:t xml:space="preserve">The Opportunity at a Glance</w:t>
      </w:r>
    </w:p>
    <w:p>
      <w:pPr>
        <w:spacing w:after="140" w:line="320"/>
        <w:jc w:val="both"/>
      </w:pPr>
      <w:r>
        <w:rPr>
          <w:rFonts w:ascii="Calibri" w:cs="Calibri" w:eastAsia="Calibri" w:hAnsi="Calibri"/>
          <w:color w:val="2A2418"/>
          <w:sz w:val="22"/>
          <w:szCs w:val="22"/>
        </w:rPr>
        <w:t xml:space="preserve">The Jingo Gold Project is a high-grade epithermal gold-silver vein system in the Pine Grove Mining District of Elmore County, Idaho. The property comprises approximately 261 acres across four named claim groups (Jingo, Hornett, Velvet, and Good Life) covering the full known strike of a large fissure quartz vein and surrounding exploration ground.</w:t>
      </w:r>
    </w:p>
    <w:p>
      <w:pPr>
        <w:spacing w:after="140" w:line="320"/>
        <w:jc w:val="both"/>
      </w:pPr>
      <w:r>
        <w:rPr>
          <w:rFonts w:ascii="Calibri" w:cs="Calibri" w:eastAsia="Calibri" w:hAnsi="Calibri"/>
          <w:color w:val="2A2418"/>
          <w:sz w:val="22"/>
          <w:szCs w:val="22"/>
        </w:rPr>
        <w:t xml:space="preserve">The project has a proven production history: in 1933, a documented shipment of 153 tons of ore yielded 1.28 oz/t gold and 6.70 oz/t silver — exceptional bulk-shipping grades. Approximately 600 feet of underground workings remain accessible and provide direct vein exposure. Most importantly, no modern drilling has ever been completed on the property. The full depth potential of the vein system, which typically extends hundreds of metres vertically in epithermal systems of this style, remains entirely untested.</w:t>
      </w:r>
    </w:p>
    <w:p>
      <w:pPr>
        <w:pStyle w:val="Heading1"/>
        <w:spacing w:after="180" w:before="360"/>
      </w:pPr>
      <w:r>
        <w:rPr>
          <w:rFonts w:ascii="Georgia" w:cs="Georgia" w:eastAsia="Georgia" w:hAnsi="Georgia"/>
          <w:b/>
          <w:bCs/>
          <w:color w:val="1A1612"/>
          <w:sz w:val="32"/>
          <w:szCs w:val="32"/>
        </w:rPr>
        <w:t xml:space="preserve">Why Jingo, Why Now</w:t>
      </w:r>
    </w:p>
    <w:p>
      <w:pPr>
        <w:pStyle w:val="ListParagraph"/>
        <w:numPr>
          <w:ilvl w:val="0"/>
          <w:numId w:val="2"/>
        </w:numPr>
        <w:spacing w:after="100" w:line="300"/>
      </w:pPr>
      <w:r>
        <w:rPr>
          <w:rFonts w:ascii="Calibri" w:cs="Calibri" w:eastAsia="Calibri" w:hAnsi="Calibri"/>
          <w:b/>
          <w:bCs/>
          <w:color w:val="1A1612"/>
          <w:sz w:val="22"/>
          <w:szCs w:val="22"/>
        </w:rPr>
        <w:t xml:space="preserve">Historic 1933 shipment of 153 tons averaged 1.28 oz/t Au and 6.70 oz/t Ag — verified by sampling of remaining ore dumps in 1985–86 returning up to 1.057 oz/t Au and 11.25 oz/t Ag.</w:t>
      </w:r>
      <w:r>
        <w:rPr>
          <w:rFonts w:ascii="Calibri" w:cs="Calibri" w:eastAsia="Calibri" w:hAnsi="Calibri"/>
          <w:color w:val="2A2418"/>
          <w:sz w:val="22"/>
          <w:szCs w:val="22"/>
        </w:rPr>
        <w:t xml:space="preserve">Proven high-grade production. </w:t>
      </w:r>
    </w:p>
    <w:p>
      <w:pPr>
        <w:pStyle w:val="ListParagraph"/>
        <w:numPr>
          <w:ilvl w:val="0"/>
          <w:numId w:val="2"/>
        </w:numPr>
        <w:spacing w:after="100" w:line="300"/>
      </w:pPr>
      <w:r>
        <w:rPr>
          <w:rFonts w:ascii="Calibri" w:cs="Calibri" w:eastAsia="Calibri" w:hAnsi="Calibri"/>
          <w:b/>
          <w:bCs/>
          <w:color w:val="1A1612"/>
          <w:sz w:val="22"/>
          <w:szCs w:val="22"/>
        </w:rPr>
        <w:t xml:space="preserve">Idaho consistently ranks among the top global jurisdictions for mining investment. Active operating and near-development gold projects within the state include Perpetua Resources (Stibnite), Revival Gold (Beartrack-Arnett), Liberty Gold (Black Pine), and Integra Resources (DeLamar).</w:t>
      </w:r>
      <w:r>
        <w:rPr>
          <w:rFonts w:ascii="Calibri" w:cs="Calibri" w:eastAsia="Calibri" w:hAnsi="Calibri"/>
          <w:color w:val="2A2418"/>
          <w:sz w:val="22"/>
          <w:szCs w:val="22"/>
        </w:rPr>
        <w:t xml:space="preserve">Tier-1 mining jurisdiction. </w:t>
      </w:r>
    </w:p>
    <w:p>
      <w:pPr>
        <w:pStyle w:val="ListParagraph"/>
        <w:numPr>
          <w:ilvl w:val="0"/>
          <w:numId w:val="2"/>
        </w:numPr>
        <w:spacing w:after="100" w:line="300"/>
      </w:pPr>
      <w:r>
        <w:rPr>
          <w:rFonts w:ascii="Calibri" w:cs="Calibri" w:eastAsia="Calibri" w:hAnsi="Calibri"/>
          <w:b/>
          <w:bCs/>
          <w:color w:val="1A1612"/>
          <w:sz w:val="22"/>
          <w:szCs w:val="22"/>
        </w:rPr>
        <w:t xml:space="preserve">Approximately 600 feet of historic adits, drifts, and vein exposures are reportedly accessible, allowing modern channel sampling, structural mapping, and underground geophysics without immediate drilling cost.</w:t>
      </w:r>
      <w:r>
        <w:rPr>
          <w:rFonts w:ascii="Calibri" w:cs="Calibri" w:eastAsia="Calibri" w:hAnsi="Calibri"/>
          <w:color w:val="2A2418"/>
          <w:sz w:val="22"/>
          <w:szCs w:val="22"/>
        </w:rPr>
        <w:t xml:space="preserve">Direct underground access. </w:t>
      </w:r>
    </w:p>
    <w:p>
      <w:pPr>
        <w:pStyle w:val="ListParagraph"/>
        <w:numPr>
          <w:ilvl w:val="0"/>
          <w:numId w:val="2"/>
        </w:numPr>
        <w:spacing w:after="100" w:line="300"/>
      </w:pPr>
      <w:r>
        <w:rPr>
          <w:rFonts w:ascii="Calibri" w:cs="Calibri" w:eastAsia="Calibri" w:hAnsi="Calibri"/>
          <w:b/>
          <w:bCs/>
          <w:color w:val="1A1612"/>
          <w:sz w:val="22"/>
          <w:szCs w:val="22"/>
        </w:rPr>
        <w:t xml:space="preserve">Mid-1980s programs by Sunshine Mining Company and other operators returned multiple high-grade samples including 1.057 oz/t Au + 11.25 oz/t Ag (sample 6803) and an 8-foot channel cut at 0.532 oz/t Au (sample 877) — confirming the vein remains intact, exposed, and mineralised.</w:t>
      </w:r>
      <w:r>
        <w:rPr>
          <w:rFonts w:ascii="Calibri" w:cs="Calibri" w:eastAsia="Calibri" w:hAnsi="Calibri"/>
          <w:color w:val="2A2418"/>
          <w:sz w:val="22"/>
          <w:szCs w:val="22"/>
        </w:rPr>
        <w:t xml:space="preserve">Modern sampling has confirmed the system. </w:t>
      </w:r>
    </w:p>
    <w:p>
      <w:pPr>
        <w:pStyle w:val="ListParagraph"/>
        <w:numPr>
          <w:ilvl w:val="0"/>
          <w:numId w:val="2"/>
        </w:numPr>
        <w:spacing w:after="100" w:line="300"/>
      </w:pPr>
      <w:r>
        <w:rPr>
          <w:rFonts w:ascii="Calibri" w:cs="Calibri" w:eastAsia="Calibri" w:hAnsi="Calibri"/>
          <w:b/>
          <w:bCs/>
          <w:color w:val="1A1612"/>
          <w:sz w:val="22"/>
          <w:szCs w:val="22"/>
        </w:rPr>
        <w:t xml:space="preserve">Epithermal bull-quartz fissure veins of the Jingo style typically host plunging ore shoots extending hundreds of metres below surface. The Jingo vein has never been drill-tested at depth.</w:t>
      </w:r>
      <w:r>
        <w:rPr>
          <w:rFonts w:ascii="Calibri" w:cs="Calibri" w:eastAsia="Calibri" w:hAnsi="Calibri"/>
          <w:color w:val="2A2418"/>
          <w:sz w:val="22"/>
          <w:szCs w:val="22"/>
        </w:rPr>
        <w:t xml:space="preserve">Untested depth potential. </w:t>
      </w:r>
    </w:p>
    <w:p>
      <w:pPr>
        <w:pStyle w:val="ListParagraph"/>
        <w:numPr>
          <w:ilvl w:val="0"/>
          <w:numId w:val="2"/>
        </w:numPr>
        <w:spacing w:after="100" w:line="300"/>
      </w:pPr>
      <w:r>
        <w:rPr>
          <w:rFonts w:ascii="Calibri" w:cs="Calibri" w:eastAsia="Calibri" w:hAnsi="Calibri"/>
          <w:b/>
          <w:bCs/>
          <w:color w:val="1A1612"/>
          <w:sz w:val="22"/>
          <w:szCs w:val="22"/>
        </w:rPr>
        <w:t xml:space="preserve">Dozens of historic gold-silver-copper-lead mines surround the Jingo property at Elmore County district scale. The Last Chance Au-Ag deposit lies on the same structural trend to the northeast.</w:t>
      </w:r>
      <w:r>
        <w:rPr>
          <w:rFonts w:ascii="Calibri" w:cs="Calibri" w:eastAsia="Calibri" w:hAnsi="Calibri"/>
          <w:color w:val="2A2418"/>
          <w:sz w:val="22"/>
          <w:szCs w:val="22"/>
        </w:rPr>
        <w:t xml:space="preserve">District-scale context. </w:t>
      </w:r>
    </w:p>
    <w:p>
      <w:pPr>
        <w:spacing w:after="120"/>
      </w:pPr>
    </w:p>
    <w:p>
      <w:pPr>
        <w:pStyle w:val="Heading1"/>
        <w:spacing w:after="180" w:before="360"/>
      </w:pPr>
      <w:r>
        <w:rPr>
          <w:rFonts w:ascii="Georgia" w:cs="Georgia" w:eastAsia="Georgia" w:hAnsi="Georgia"/>
          <w:b/>
          <w:bCs/>
          <w:color w:val="1A1612"/>
          <w:sz w:val="32"/>
          <w:szCs w:val="32"/>
        </w:rPr>
        <w:t xml:space="preserve">Property</w:t>
      </w:r>
    </w:p>
    <w:p>
      <w:pPr>
        <w:spacing w:after="140" w:line="320"/>
        <w:jc w:val="both"/>
      </w:pPr>
      <w:r>
        <w:rPr>
          <w:rFonts w:ascii="Calibri" w:cs="Calibri" w:eastAsia="Calibri" w:hAnsi="Calibri"/>
          <w:color w:val="2A2418"/>
          <w:sz w:val="22"/>
          <w:szCs w:val="22"/>
        </w:rPr>
        <w:t xml:space="preserve">Approximately 261 acres (≈106 hectares) of unpatented mining claims on federal (BLM) land in the Pine Grove Mining District, Elmore County, Idaho. Four named claim groups: Jingo Group, Hornett, Velvet, and Good Life. Project centroid: 43.4060°N, 115.1966°W (NAD 83). Road access directly to the property. Approximately 54 road miles north-northeast of Mountain Home; 21 miles west of Fairfield; ~50 km from Boise (state capital).</w:t>
      </w:r>
    </w:p>
    <w:p>
      <w:pPr>
        <w:pStyle w:val="Heading1"/>
        <w:spacing w:after="180" w:before="360"/>
      </w:pPr>
      <w:r>
        <w:rPr>
          <w:rFonts w:ascii="Georgia" w:cs="Georgia" w:eastAsia="Georgia" w:hAnsi="Georgia"/>
          <w:b/>
          <w:bCs/>
          <w:color w:val="1A1612"/>
          <w:sz w:val="32"/>
          <w:szCs w:val="32"/>
        </w:rPr>
        <w:t xml:space="preserve">Geological Setting</w:t>
      </w:r>
    </w:p>
    <w:p>
      <w:pPr>
        <w:spacing w:after="140" w:line="320"/>
        <w:jc w:val="both"/>
      </w:pPr>
      <w:r>
        <w:rPr>
          <w:rFonts w:ascii="Calibri" w:cs="Calibri" w:eastAsia="Calibri" w:hAnsi="Calibri"/>
          <w:color w:val="2A2418"/>
          <w:sz w:val="22"/>
          <w:szCs w:val="22"/>
        </w:rPr>
        <w:t xml:space="preserve">The Jingo vein is a long, discontinuous epithermal bull-quartz fissure vein system striking approximately N60°E and dipping 75–90° south. The vein pinches and swells along strike, ranging from 1 to 6 feet wide and reaching a maximum of approximately 10 feet near the historic workings. The vein is in fault contact with Cretaceous granite to the north and younger dacites to the south. Host rock is granodiorite to quartz monzodiorite of the Idaho Batholith complex.</w:t>
      </w:r>
    </w:p>
    <w:p>
      <w:pPr>
        <w:spacing w:after="140" w:line="320"/>
        <w:jc w:val="both"/>
      </w:pPr>
      <w:r>
        <w:rPr>
          <w:rFonts w:ascii="Calibri" w:cs="Calibri" w:eastAsia="Calibri" w:hAnsi="Calibri"/>
          <w:color w:val="2A2418"/>
          <w:sz w:val="22"/>
          <w:szCs w:val="22"/>
        </w:rPr>
        <w:t xml:space="preserve">Mineralisation occurs as quartz fissure filling and altered country rock. The quartz contains disseminated pyrite, limonite, and occasional bunches of galena and sphalerite. The silicified granite hanging wall also carries gold values. High-grade samples are associated with characteristic "bug hole" quartz containing spider-web iron staining and sulphides — the Mid-1985 sample 6803, which returned 1.057 oz/t Au and 11.25 oz/t Ag, is a textbook example of this high-grade phase.</w:t>
      </w:r>
    </w:p>
    <w:p>
      <w:pPr>
        <w:pStyle w:val="Heading1"/>
        <w:spacing w:after="180" w:before="360"/>
      </w:pPr>
      <w:r>
        <w:rPr>
          <w:rFonts w:ascii="Georgia" w:cs="Georgia" w:eastAsia="Georgia" w:hAnsi="Georgia"/>
          <w:b/>
          <w:bCs/>
          <w:color w:val="1A1612"/>
          <w:sz w:val="32"/>
          <w:szCs w:val="32"/>
        </w:rPr>
        <w:t xml:space="preserve">Key Assay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900"/>
        <w:gridCol w:w="1500"/>
        <w:gridCol w:w="1500"/>
        <w:gridCol w:w="3460"/>
      </w:tblGrid>
      <w:tr>
        <w:trPr>
          <w:tblHeader/>
        </w:trPr>
        <w:tc>
          <w:tcPr>
            <w:tcW w:type="dxa" w:w="290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Sample / Source</w:t>
            </w:r>
          </w:p>
        </w:tc>
        <w:tc>
          <w:tcPr>
            <w:tcW w:type="dxa" w:w="150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Au (oz/t)</w:t>
            </w:r>
          </w:p>
        </w:tc>
        <w:tc>
          <w:tcPr>
            <w:tcW w:type="dxa" w:w="150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Ag (oz/t)</w:t>
            </w:r>
          </w:p>
        </w:tc>
        <w:tc>
          <w:tcPr>
            <w:tcW w:type="dxa" w:w="346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Description</w:t>
            </w:r>
          </w:p>
        </w:tc>
      </w:tr>
      <w:tr>
        <w:tc>
          <w:tcPr>
            <w:tcW w:type="dxa" w:w="29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b w:val="false"/>
                <w:bCs w:val="false"/>
                <w:color w:val="1A1612"/>
                <w:sz w:val="20"/>
                <w:szCs w:val="20"/>
              </w:rPr>
              <w:t xml:space="preserve">1933 Shipping Ore (153 t)</w:t>
            </w:r>
          </w:p>
        </w:tc>
        <w:tc>
          <w:tcPr>
            <w:tcW w:type="dxa" w:w="15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b/>
                <w:bCs/>
                <w:color w:val="8B6C12"/>
                <w:sz w:val="20"/>
                <w:szCs w:val="20"/>
              </w:rPr>
              <w:t xml:space="preserve">1.28</w:t>
            </w:r>
          </w:p>
        </w:tc>
        <w:tc>
          <w:tcPr>
            <w:tcW w:type="dxa" w:w="15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2A2418"/>
                <w:sz w:val="20"/>
                <w:szCs w:val="20"/>
              </w:rPr>
              <w:t xml:space="preserve">6.70</w:t>
            </w:r>
          </w:p>
        </w:tc>
        <w:tc>
          <w:tcPr>
            <w:tcW w:type="dxa" w:w="346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color w:val="7A7460"/>
                <w:sz w:val="18"/>
                <w:szCs w:val="18"/>
              </w:rPr>
              <w:t xml:space="preserve">Bulk shipment — historic production</w:t>
            </w:r>
          </w:p>
        </w:tc>
      </w:tr>
      <w:tr>
        <w:tc>
          <w:tcPr>
            <w:tcW w:type="dxa" w:w="2900"/>
            <w:tcBorders>
              <w:top w:val="single" w:color="D8D0B5" w:sz="4"/>
              <w:left w:val="single" w:color="D8D0B5" w:sz="4"/>
              <w:bottom w:val="single" w:color="D8D0B5" w:sz="4"/>
              <w:right w:val="single" w:color="D8D0B5" w:sz="4"/>
            </w:tcBorders>
            <w:shd w:fill="1A1612" w:val="clear"/>
            <w:tcMar>
              <w:top w:type="dxa" w:w="100"/>
              <w:left w:type="dxa" w:w="140"/>
              <w:bottom w:type="dxa" w:w="100"/>
              <w:right w:type="dxa" w:w="140"/>
            </w:tcMar>
          </w:tcPr>
          <w:p>
            <w:pPr>
              <w:jc w:val="left"/>
            </w:pPr>
            <w:r>
              <w:rPr>
                <w:rFonts w:ascii="Calibri" w:cs="Calibri" w:eastAsia="Calibri" w:hAnsi="Calibri"/>
                <w:b/>
                <w:bCs/>
                <w:color w:val="C5A028"/>
                <w:sz w:val="20"/>
                <w:szCs w:val="20"/>
              </w:rPr>
              <w:t xml:space="preserve">6803 (Oct 1985)</w:t>
            </w:r>
          </w:p>
        </w:tc>
        <w:tc>
          <w:tcPr>
            <w:tcW w:type="dxa" w:w="1500"/>
            <w:tcBorders>
              <w:top w:val="single" w:color="D8D0B5" w:sz="4"/>
              <w:left w:val="single" w:color="D8D0B5" w:sz="4"/>
              <w:bottom w:val="single" w:color="D8D0B5" w:sz="4"/>
              <w:right w:val="single" w:color="D8D0B5" w:sz="4"/>
            </w:tcBorders>
            <w:shd w:fill="1A1612" w:val="clear"/>
            <w:tcMar>
              <w:top w:type="dxa" w:w="100"/>
              <w:left w:type="dxa" w:w="140"/>
              <w:bottom w:type="dxa" w:w="100"/>
              <w:right w:type="dxa" w:w="140"/>
            </w:tcMar>
          </w:tcPr>
          <w:p>
            <w:pPr>
              <w:jc w:val="center"/>
            </w:pPr>
            <w:r>
              <w:rPr>
                <w:rFonts w:ascii="Calibri" w:cs="Calibri" w:eastAsia="Calibri" w:hAnsi="Calibri"/>
                <w:b/>
                <w:bCs/>
                <w:color w:val="C5A028"/>
                <w:sz w:val="20"/>
                <w:szCs w:val="20"/>
              </w:rPr>
              <w:t xml:space="preserve">1.057</w:t>
            </w:r>
          </w:p>
        </w:tc>
        <w:tc>
          <w:tcPr>
            <w:tcW w:type="dxa" w:w="1500"/>
            <w:tcBorders>
              <w:top w:val="single" w:color="D8D0B5" w:sz="4"/>
              <w:left w:val="single" w:color="D8D0B5" w:sz="4"/>
              <w:bottom w:val="single" w:color="D8D0B5" w:sz="4"/>
              <w:right w:val="single" w:color="D8D0B5" w:sz="4"/>
            </w:tcBorders>
            <w:shd w:fill="1A1612" w:val="clear"/>
            <w:tcMar>
              <w:top w:type="dxa" w:w="100"/>
              <w:left w:type="dxa" w:w="140"/>
              <w:bottom w:type="dxa" w:w="100"/>
              <w:right w:type="dxa" w:w="140"/>
            </w:tcMar>
          </w:tcPr>
          <w:p>
            <w:pPr>
              <w:jc w:val="center"/>
            </w:pPr>
            <w:r>
              <w:rPr>
                <w:rFonts w:ascii="Calibri" w:cs="Calibri" w:eastAsia="Calibri" w:hAnsi="Calibri"/>
                <w:color w:val="F0E8D0"/>
                <w:sz w:val="20"/>
                <w:szCs w:val="20"/>
              </w:rPr>
              <w:t xml:space="preserve">11.25</w:t>
            </w:r>
          </w:p>
        </w:tc>
        <w:tc>
          <w:tcPr>
            <w:tcW w:type="dxa" w:w="3460"/>
            <w:tcBorders>
              <w:top w:val="single" w:color="D8D0B5" w:sz="4"/>
              <w:left w:val="single" w:color="D8D0B5" w:sz="4"/>
              <w:bottom w:val="single" w:color="D8D0B5" w:sz="4"/>
              <w:right w:val="single" w:color="D8D0B5" w:sz="4"/>
            </w:tcBorders>
            <w:shd w:fill="1A1612" w:val="clear"/>
            <w:tcMar>
              <w:top w:type="dxa" w:w="100"/>
              <w:left w:type="dxa" w:w="140"/>
              <w:bottom w:type="dxa" w:w="100"/>
              <w:right w:type="dxa" w:w="140"/>
            </w:tcMar>
          </w:tcPr>
          <w:p>
            <w:pPr>
              <w:jc w:val="left"/>
            </w:pPr>
            <w:r>
              <w:rPr>
                <w:rFonts w:ascii="Calibri" w:cs="Calibri" w:eastAsia="Calibri" w:hAnsi="Calibri"/>
                <w:color w:val="F0E8D0"/>
                <w:sz w:val="18"/>
                <w:szCs w:val="18"/>
              </w:rPr>
              <w:t xml:space="preserve">Bug hole quartz / spider web Fe stain + orange — PEAK</w:t>
            </w:r>
          </w:p>
        </w:tc>
      </w:tr>
      <w:tr>
        <w:tc>
          <w:tcPr>
            <w:tcW w:type="dxa" w:w="29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b w:val="false"/>
                <w:bCs w:val="false"/>
                <w:color w:val="1A1612"/>
                <w:sz w:val="20"/>
                <w:szCs w:val="20"/>
              </w:rPr>
              <w:t xml:space="preserve">6811 (Oct 1985)</w:t>
            </w:r>
          </w:p>
        </w:tc>
        <w:tc>
          <w:tcPr>
            <w:tcW w:type="dxa" w:w="15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b/>
                <w:bCs/>
                <w:color w:val="8B6C12"/>
                <w:sz w:val="20"/>
                <w:szCs w:val="20"/>
              </w:rPr>
              <w:t xml:space="preserve">0.734</w:t>
            </w:r>
          </w:p>
        </w:tc>
        <w:tc>
          <w:tcPr>
            <w:tcW w:type="dxa" w:w="15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2A2418"/>
                <w:sz w:val="20"/>
                <w:szCs w:val="20"/>
              </w:rPr>
              <w:t xml:space="preserve">8.18</w:t>
            </w:r>
          </w:p>
        </w:tc>
        <w:tc>
          <w:tcPr>
            <w:tcW w:type="dxa" w:w="346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color w:val="7A7460"/>
                <w:sz w:val="18"/>
                <w:szCs w:val="18"/>
              </w:rPr>
              <w:t xml:space="preserve">White to light gray quartz, Fe spider web</w:t>
            </w:r>
          </w:p>
        </w:tc>
      </w:tr>
      <w:tr>
        <w:tc>
          <w:tcPr>
            <w:tcW w:type="dxa" w:w="29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left"/>
            </w:pPr>
            <w:r>
              <w:rPr>
                <w:rFonts w:ascii="Calibri" w:cs="Calibri" w:eastAsia="Calibri" w:hAnsi="Calibri"/>
                <w:b w:val="false"/>
                <w:bCs w:val="false"/>
                <w:color w:val="1A1612"/>
                <w:sz w:val="20"/>
                <w:szCs w:val="20"/>
              </w:rPr>
              <w:t xml:space="preserve">878 (May 1986)</w:t>
            </w:r>
          </w:p>
        </w:tc>
        <w:tc>
          <w:tcPr>
            <w:tcW w:type="dxa" w:w="15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b/>
                <w:bCs/>
                <w:color w:val="8B6C12"/>
                <w:sz w:val="20"/>
                <w:szCs w:val="20"/>
              </w:rPr>
              <w:t xml:space="preserve">0.802</w:t>
            </w:r>
          </w:p>
        </w:tc>
        <w:tc>
          <w:tcPr>
            <w:tcW w:type="dxa" w:w="15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color w:val="2A2418"/>
                <w:sz w:val="20"/>
                <w:szCs w:val="20"/>
              </w:rPr>
              <w:t xml:space="preserve">1.95</w:t>
            </w:r>
          </w:p>
        </w:tc>
        <w:tc>
          <w:tcPr>
            <w:tcW w:type="dxa" w:w="346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left"/>
            </w:pPr>
            <w:r>
              <w:rPr>
                <w:rFonts w:ascii="Calibri" w:cs="Calibri" w:eastAsia="Calibri" w:hAnsi="Calibri"/>
                <w:color w:val="7A7460"/>
                <w:sz w:val="18"/>
                <w:szCs w:val="18"/>
              </w:rPr>
              <w:t xml:space="preserve">Grab — high-grade FeOx-stained rock from main dump</w:t>
            </w:r>
          </w:p>
        </w:tc>
      </w:tr>
      <w:tr>
        <w:tc>
          <w:tcPr>
            <w:tcW w:type="dxa" w:w="29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b w:val="false"/>
                <w:bCs w:val="false"/>
                <w:color w:val="1A1612"/>
                <w:sz w:val="20"/>
                <w:szCs w:val="20"/>
              </w:rPr>
              <w:t xml:space="preserve">877 (May 1986)</w:t>
            </w:r>
          </w:p>
        </w:tc>
        <w:tc>
          <w:tcPr>
            <w:tcW w:type="dxa" w:w="15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b/>
                <w:bCs/>
                <w:color w:val="8B6C12"/>
                <w:sz w:val="20"/>
                <w:szCs w:val="20"/>
              </w:rPr>
              <w:t xml:space="preserve">0.532</w:t>
            </w:r>
          </w:p>
        </w:tc>
        <w:tc>
          <w:tcPr>
            <w:tcW w:type="dxa" w:w="15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2A2418"/>
                <w:sz w:val="20"/>
                <w:szCs w:val="20"/>
              </w:rPr>
              <w:t xml:space="preserve">0.27</w:t>
            </w:r>
          </w:p>
        </w:tc>
        <w:tc>
          <w:tcPr>
            <w:tcW w:type="dxa" w:w="346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color w:val="7A7460"/>
                <w:sz w:val="18"/>
                <w:szCs w:val="18"/>
              </w:rPr>
              <w:t xml:space="preserve">Cut 8' qtz vein in granite, caved adit above dump</w:t>
            </w:r>
          </w:p>
        </w:tc>
      </w:tr>
      <w:tr>
        <w:tc>
          <w:tcPr>
            <w:tcW w:type="dxa" w:w="29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left"/>
            </w:pPr>
            <w:r>
              <w:rPr>
                <w:rFonts w:ascii="Calibri" w:cs="Calibri" w:eastAsia="Calibri" w:hAnsi="Calibri"/>
                <w:b w:val="false"/>
                <w:bCs w:val="false"/>
                <w:color w:val="1A1612"/>
                <w:sz w:val="20"/>
                <w:szCs w:val="20"/>
              </w:rPr>
              <w:t xml:space="preserve">6801 (Oct 1985)</w:t>
            </w:r>
          </w:p>
        </w:tc>
        <w:tc>
          <w:tcPr>
            <w:tcW w:type="dxa" w:w="15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b w:val="false"/>
                <w:bCs w:val="false"/>
                <w:color w:val="2A2418"/>
                <w:sz w:val="20"/>
                <w:szCs w:val="20"/>
              </w:rPr>
              <w:t xml:space="preserve">0.322</w:t>
            </w:r>
          </w:p>
        </w:tc>
        <w:tc>
          <w:tcPr>
            <w:tcW w:type="dxa" w:w="15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color w:val="2A2418"/>
                <w:sz w:val="20"/>
                <w:szCs w:val="20"/>
              </w:rPr>
              <w:t xml:space="preserve">5.33</w:t>
            </w:r>
          </w:p>
        </w:tc>
        <w:tc>
          <w:tcPr>
            <w:tcW w:type="dxa" w:w="346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left"/>
            </w:pPr>
            <w:r>
              <w:rPr>
                <w:rFonts w:ascii="Calibri" w:cs="Calibri" w:eastAsia="Calibri" w:hAnsi="Calibri"/>
                <w:color w:val="7A7460"/>
                <w:sz w:val="18"/>
                <w:szCs w:val="18"/>
              </w:rPr>
              <w:t xml:space="preserve">Rose quartz with Fe stain, blood red stains</w:t>
            </w:r>
          </w:p>
        </w:tc>
      </w:tr>
      <w:tr>
        <w:tc>
          <w:tcPr>
            <w:tcW w:type="dxa" w:w="29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b w:val="false"/>
                <w:bCs w:val="false"/>
                <w:color w:val="1A1612"/>
                <w:sz w:val="20"/>
                <w:szCs w:val="20"/>
              </w:rPr>
              <w:t xml:space="preserve">6810 (Oct 1985)</w:t>
            </w:r>
          </w:p>
        </w:tc>
        <w:tc>
          <w:tcPr>
            <w:tcW w:type="dxa" w:w="15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b w:val="false"/>
                <w:bCs w:val="false"/>
                <w:color w:val="2A2418"/>
                <w:sz w:val="20"/>
                <w:szCs w:val="20"/>
              </w:rPr>
              <w:t xml:space="preserve">0.299</w:t>
            </w:r>
          </w:p>
        </w:tc>
        <w:tc>
          <w:tcPr>
            <w:tcW w:type="dxa" w:w="15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2A2418"/>
                <w:sz w:val="20"/>
                <w:szCs w:val="20"/>
              </w:rPr>
              <w:t xml:space="preserve">2.86</w:t>
            </w:r>
          </w:p>
        </w:tc>
        <w:tc>
          <w:tcPr>
            <w:tcW w:type="dxa" w:w="346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color w:val="7A7460"/>
                <w:sz w:val="18"/>
                <w:szCs w:val="18"/>
              </w:rPr>
              <w:t xml:space="preserve">Fine grain quartz with Cu stains &amp; small pyrite</w:t>
            </w:r>
          </w:p>
        </w:tc>
      </w:tr>
      <w:tr>
        <w:tc>
          <w:tcPr>
            <w:tcW w:type="dxa" w:w="29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left"/>
            </w:pPr>
            <w:r>
              <w:rPr>
                <w:rFonts w:ascii="Calibri" w:cs="Calibri" w:eastAsia="Calibri" w:hAnsi="Calibri"/>
                <w:b w:val="false"/>
                <w:bCs w:val="false"/>
                <w:color w:val="1A1612"/>
                <w:sz w:val="20"/>
                <w:szCs w:val="20"/>
              </w:rPr>
              <w:t xml:space="preserve">6804 (Oct 1985)</w:t>
            </w:r>
          </w:p>
        </w:tc>
        <w:tc>
          <w:tcPr>
            <w:tcW w:type="dxa" w:w="15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b w:val="false"/>
                <w:bCs w:val="false"/>
                <w:color w:val="2A2418"/>
                <w:sz w:val="20"/>
                <w:szCs w:val="20"/>
              </w:rPr>
              <w:t xml:space="preserve">0.131</w:t>
            </w:r>
          </w:p>
        </w:tc>
        <w:tc>
          <w:tcPr>
            <w:tcW w:type="dxa" w:w="15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color w:val="2A2418"/>
                <w:sz w:val="20"/>
                <w:szCs w:val="20"/>
              </w:rPr>
              <w:t xml:space="preserve">0.28</w:t>
            </w:r>
          </w:p>
        </w:tc>
        <w:tc>
          <w:tcPr>
            <w:tcW w:type="dxa" w:w="346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left"/>
            </w:pPr>
            <w:r>
              <w:rPr>
                <w:rFonts w:ascii="Calibri" w:cs="Calibri" w:eastAsia="Calibri" w:hAnsi="Calibri"/>
                <w:color w:val="7A7460"/>
                <w:sz w:val="18"/>
                <w:szCs w:val="18"/>
              </w:rPr>
              <w:t xml:space="preserve">Gouge contact at footwall, mostly green</w:t>
            </w:r>
          </w:p>
        </w:tc>
      </w:tr>
      <w:tr>
        <w:tc>
          <w:tcPr>
            <w:tcW w:type="dxa" w:w="29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b w:val="false"/>
                <w:bCs w:val="false"/>
                <w:color w:val="1A1612"/>
                <w:sz w:val="20"/>
                <w:szCs w:val="20"/>
              </w:rPr>
              <w:t xml:space="preserve">2801 (Aug 1985)</w:t>
            </w:r>
          </w:p>
        </w:tc>
        <w:tc>
          <w:tcPr>
            <w:tcW w:type="dxa" w:w="15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b w:val="false"/>
                <w:bCs w:val="false"/>
                <w:color w:val="2A2418"/>
                <w:sz w:val="20"/>
                <w:szCs w:val="20"/>
              </w:rPr>
              <w:t xml:space="preserve">0.171</w:t>
            </w:r>
          </w:p>
        </w:tc>
        <w:tc>
          <w:tcPr>
            <w:tcW w:type="dxa" w:w="15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2A2418"/>
                <w:sz w:val="20"/>
                <w:szCs w:val="20"/>
              </w:rPr>
              <w:t xml:space="preserve">0.92</w:t>
            </w:r>
          </w:p>
        </w:tc>
        <w:tc>
          <w:tcPr>
            <w:tcW w:type="dxa" w:w="346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color w:val="7A7460"/>
                <w:sz w:val="18"/>
                <w:szCs w:val="18"/>
              </w:rPr>
              <w:t xml:space="preserve">Jingo dump composite</w:t>
            </w:r>
          </w:p>
        </w:tc>
      </w:tr>
    </w:tbl>
    <w:p>
      <w:pPr>
        <w:spacing w:after="140"/>
      </w:pPr>
    </w:p>
    <w:p>
      <w:pPr>
        <w:spacing w:after="200"/>
      </w:pPr>
      <w:r>
        <w:rPr>
          <w:rFonts w:ascii="Calibri" w:cs="Calibri" w:eastAsia="Calibri" w:hAnsi="Calibri"/>
          <w:i/>
          <w:iCs/>
          <w:color w:val="7A7460"/>
          <w:sz w:val="18"/>
          <w:szCs w:val="18"/>
        </w:rPr>
        <w:t xml:space="preserve">Sample 6803 (highlighted) is the peak modern assay on record from the Jingo property. All historic assays pre-date modern NI 43-101 / SK 1300 QA/QC protocols and are exploration indicators only.</w:t>
      </w:r>
    </w:p>
    <w:p>
      <w:pPr>
        <w:pStyle w:val="Heading1"/>
        <w:spacing w:after="180" w:before="360"/>
      </w:pPr>
      <w:r>
        <w:rPr>
          <w:rFonts w:ascii="Georgia" w:cs="Georgia" w:eastAsia="Georgia" w:hAnsi="Georgia"/>
          <w:b/>
          <w:bCs/>
          <w:color w:val="1A1612"/>
          <w:sz w:val="32"/>
          <w:szCs w:val="32"/>
        </w:rPr>
        <w:t xml:space="preserve">Exploration History</w:t>
      </w:r>
    </w:p>
    <w:p>
      <w:pPr>
        <w:pStyle w:val="ListParagraph"/>
        <w:numPr>
          <w:ilvl w:val="0"/>
          <w:numId w:val="2"/>
        </w:numPr>
        <w:spacing w:after="100" w:line="300"/>
      </w:pPr>
      <w:r>
        <w:rPr>
          <w:rFonts w:ascii="Calibri" w:cs="Calibri" w:eastAsia="Calibri" w:hAnsi="Calibri"/>
          <w:b/>
          <w:bCs/>
          <w:color w:val="1A1612"/>
          <w:sz w:val="22"/>
          <w:szCs w:val="22"/>
        </w:rPr>
        <w:t xml:space="preserve">Original discovery as the Jumbo and Hercules claims.</w:t>
      </w:r>
      <w:r>
        <w:rPr>
          <w:rFonts w:ascii="Calibri" w:cs="Calibri" w:eastAsia="Calibri" w:hAnsi="Calibri"/>
          <w:color w:val="2A2418"/>
          <w:sz w:val="22"/>
          <w:szCs w:val="22"/>
        </w:rPr>
        <w:t xml:space="preserve">1893: </w:t>
      </w:r>
    </w:p>
    <w:p>
      <w:pPr>
        <w:pStyle w:val="ListParagraph"/>
        <w:numPr>
          <w:ilvl w:val="0"/>
          <w:numId w:val="2"/>
        </w:numPr>
        <w:spacing w:after="100" w:line="300"/>
      </w:pPr>
      <w:r>
        <w:rPr>
          <w:rFonts w:ascii="Calibri" w:cs="Calibri" w:eastAsia="Calibri" w:hAnsi="Calibri"/>
          <w:b/>
          <w:bCs/>
          <w:color w:val="1A1612"/>
          <w:sz w:val="22"/>
          <w:szCs w:val="22"/>
        </w:rPr>
        <w:t xml:space="preserve">Operated under bond by a Salt Lake City-based company; ~600 ft of development completed on the fissure vein. Early reports cite gold values of $15–$25 per ton (historical prices) with occasional high-grade shipping bodies.</w:t>
      </w:r>
      <w:r>
        <w:rPr>
          <w:rFonts w:ascii="Calibri" w:cs="Calibri" w:eastAsia="Calibri" w:hAnsi="Calibri"/>
          <w:color w:val="2A2418"/>
          <w:sz w:val="22"/>
          <w:szCs w:val="22"/>
        </w:rPr>
        <w:t xml:space="preserve">1903: </w:t>
      </w:r>
    </w:p>
    <w:p>
      <w:pPr>
        <w:pStyle w:val="ListParagraph"/>
        <w:numPr>
          <w:ilvl w:val="0"/>
          <w:numId w:val="2"/>
        </w:numPr>
        <w:spacing w:after="100" w:line="300"/>
      </w:pPr>
      <w:r>
        <w:rPr>
          <w:rFonts w:ascii="Calibri" w:cs="Calibri" w:eastAsia="Calibri" w:hAnsi="Calibri"/>
          <w:b/>
          <w:bCs/>
          <w:color w:val="1A1612"/>
          <w:sz w:val="22"/>
          <w:szCs w:val="22"/>
        </w:rPr>
        <w:t xml:space="preserve">Documented shipment of 153 tons of ore yielding 1.28 oz/t Au and 6.70 oz/t Ag.</w:t>
      </w:r>
      <w:r>
        <w:rPr>
          <w:rFonts w:ascii="Calibri" w:cs="Calibri" w:eastAsia="Calibri" w:hAnsi="Calibri"/>
          <w:color w:val="2A2418"/>
          <w:sz w:val="22"/>
          <w:szCs w:val="22"/>
        </w:rPr>
        <w:t xml:space="preserve">1933: </w:t>
      </w:r>
    </w:p>
    <w:p>
      <w:pPr>
        <w:pStyle w:val="ListParagraph"/>
        <w:numPr>
          <w:ilvl w:val="0"/>
          <w:numId w:val="2"/>
        </w:numPr>
        <w:spacing w:after="100" w:line="300"/>
      </w:pPr>
      <w:r>
        <w:rPr>
          <w:rFonts w:ascii="Calibri" w:cs="Calibri" w:eastAsia="Calibri" w:hAnsi="Calibri"/>
          <w:b/>
          <w:bCs/>
          <w:color w:val="1A1612"/>
          <w:sz w:val="22"/>
          <w:szCs w:val="22"/>
        </w:rPr>
        <w:t xml:space="preserve">Sunshine Mining Company and other operators conducted geological mapping, channel sampling, and rock chip sampling programs. Peak modern result: 1.057 oz/t Au + 11.25 oz/t Ag (sample 6803, October 1985).</w:t>
      </w:r>
      <w:r>
        <w:rPr>
          <w:rFonts w:ascii="Calibri" w:cs="Calibri" w:eastAsia="Calibri" w:hAnsi="Calibri"/>
          <w:color w:val="2A2418"/>
          <w:sz w:val="22"/>
          <w:szCs w:val="22"/>
        </w:rPr>
        <w:t xml:space="preserve">Mid-1980s: </w:t>
      </w:r>
    </w:p>
    <w:p>
      <w:pPr>
        <w:pStyle w:val="ListParagraph"/>
        <w:numPr>
          <w:ilvl w:val="0"/>
          <w:numId w:val="2"/>
        </w:numPr>
        <w:spacing w:after="100" w:line="300"/>
      </w:pPr>
      <w:r>
        <w:rPr>
          <w:rFonts w:ascii="Calibri" w:cs="Calibri" w:eastAsia="Calibri" w:hAnsi="Calibri"/>
          <w:b/>
          <w:bCs/>
          <w:color w:val="1A1612"/>
          <w:sz w:val="22"/>
          <w:szCs w:val="22"/>
        </w:rPr>
        <w:t xml:space="preserve">Geophysical surveys (recommended by Sunshine geologists in the mid-1980s but never completed); modern QA/QC channel sampling along the full strike; core drilling program to test the vein at depth.</w:t>
      </w:r>
      <w:r>
        <w:rPr>
          <w:rFonts w:ascii="Calibri" w:cs="Calibri" w:eastAsia="Calibri" w:hAnsi="Calibri"/>
          <w:color w:val="2A2418"/>
          <w:sz w:val="22"/>
          <w:szCs w:val="22"/>
        </w:rPr>
        <w:t xml:space="preserve">Recommended next: </w:t>
      </w:r>
    </w:p>
    <w:p>
      <w:pPr>
        <w:pStyle w:val="Heading1"/>
        <w:spacing w:after="180" w:before="360"/>
      </w:pPr>
      <w:r>
        <w:rPr>
          <w:rFonts w:ascii="Georgia" w:cs="Georgia" w:eastAsia="Georgia" w:hAnsi="Georgia"/>
          <w:b/>
          <w:bCs/>
          <w:color w:val="1A1612"/>
          <w:sz w:val="32"/>
          <w:szCs w:val="32"/>
        </w:rPr>
        <w:t xml:space="preserve">The Ask</w:t>
      </w:r>
    </w:p>
    <w:p>
      <w:pPr>
        <w:spacing w:after="140" w:line="320"/>
        <w:jc w:val="both"/>
      </w:pPr>
      <w:r>
        <w:rPr>
          <w:rFonts w:ascii="Calibri" w:cs="Calibri" w:eastAsia="Calibri" w:hAnsi="Calibri"/>
          <w:color w:val="2A2418"/>
          <w:sz w:val="22"/>
          <w:szCs w:val="22"/>
        </w:rPr>
        <w:t xml:space="preserve">The vendors are seeking a strategic partner — a junior or mid-tier gold explorer — to acquire or option the Jingo Project and commit to a modern first-pass exploration and drill program. Indicative Phase 1 program:</w:t>
      </w:r>
    </w:p>
    <w:p>
      <w:pPr>
        <w:pStyle w:val="ListParagraph"/>
        <w:numPr>
          <w:ilvl w:val="0"/>
          <w:numId w:val="2"/>
        </w:numPr>
        <w:spacing w:after="100" w:line="300"/>
      </w:pPr>
      <w:r>
        <w:rPr>
          <w:rFonts w:ascii="Calibri" w:cs="Calibri" w:eastAsia="Calibri" w:hAnsi="Calibri"/>
          <w:color w:val="2A2418"/>
          <w:sz w:val="22"/>
          <w:szCs w:val="22"/>
        </w:rPr>
        <w:t xml:space="preserve">Detailed structural and lithological mapping at 1:2,500 across the full claim block;</w:t>
      </w:r>
    </w:p>
    <w:p>
      <w:pPr>
        <w:pStyle w:val="ListParagraph"/>
        <w:numPr>
          <w:ilvl w:val="0"/>
          <w:numId w:val="2"/>
        </w:numPr>
        <w:spacing w:after="100" w:line="300"/>
      </w:pPr>
      <w:r>
        <w:rPr>
          <w:rFonts w:ascii="Calibri" w:cs="Calibri" w:eastAsia="Calibri" w:hAnsi="Calibri"/>
          <w:color w:val="2A2418"/>
          <w:sz w:val="22"/>
          <w:szCs w:val="22"/>
        </w:rPr>
        <w:t xml:space="preserve">Modern channel and chip sampling of all accessible historic exposures with full QA/QC (blanks, certified reference materials, duplicates);</w:t>
      </w:r>
    </w:p>
    <w:p>
      <w:pPr>
        <w:pStyle w:val="ListParagraph"/>
        <w:numPr>
          <w:ilvl w:val="0"/>
          <w:numId w:val="2"/>
        </w:numPr>
        <w:spacing w:after="100" w:line="300"/>
      </w:pPr>
      <w:r>
        <w:rPr>
          <w:rFonts w:ascii="Calibri" w:cs="Calibri" w:eastAsia="Calibri" w:hAnsi="Calibri"/>
          <w:color w:val="2A2418"/>
          <w:sz w:val="22"/>
          <w:szCs w:val="22"/>
        </w:rPr>
        <w:t xml:space="preserve">Ground geophysics: induced polarisation (IP) and magnetics over the full vein strike (~1 km);</w:t>
      </w:r>
    </w:p>
    <w:p>
      <w:pPr>
        <w:pStyle w:val="ListParagraph"/>
        <w:numPr>
          <w:ilvl w:val="0"/>
          <w:numId w:val="2"/>
        </w:numPr>
        <w:spacing w:after="100" w:line="300"/>
      </w:pPr>
      <w:r>
        <w:rPr>
          <w:rFonts w:ascii="Calibri" w:cs="Calibri" w:eastAsia="Calibri" w:hAnsi="Calibri"/>
          <w:color w:val="2A2418"/>
          <w:sz w:val="22"/>
          <w:szCs w:val="22"/>
        </w:rPr>
        <w:t xml:space="preserve">5–8 RC or core drill holes (target depth 100–250 m) testing the vein at depth and along strike;</w:t>
      </w:r>
    </w:p>
    <w:p>
      <w:pPr>
        <w:pStyle w:val="ListParagraph"/>
        <w:numPr>
          <w:ilvl w:val="0"/>
          <w:numId w:val="2"/>
        </w:numPr>
        <w:spacing w:after="100" w:line="300"/>
      </w:pPr>
      <w:r>
        <w:rPr>
          <w:rFonts w:ascii="Calibri" w:cs="Calibri" w:eastAsia="Calibri" w:hAnsi="Calibri"/>
          <w:color w:val="2A2418"/>
          <w:sz w:val="22"/>
          <w:szCs w:val="22"/>
        </w:rPr>
        <w:t xml:space="preserve">Updated geological model and Phase 2 program recommendation.</w:t>
      </w:r>
    </w:p>
    <w:p>
      <w:pPr>
        <w:spacing w:after="140" w:line="320"/>
        <w:jc w:val="both"/>
      </w:pPr>
      <w:r>
        <w:rPr>
          <w:rFonts w:ascii="Calibri" w:cs="Calibri" w:eastAsia="Calibri" w:hAnsi="Calibri"/>
          <w:color w:val="2A2418"/>
          <w:sz w:val="22"/>
          <w:szCs w:val="22"/>
        </w:rPr>
        <w:t xml:space="preserve">Estimated Phase 1 budget: USD 600,000–1,200,000. At Idaho/US gold-project discovery valuations, even a modest maiden inferred resource of 100,000–250,000 oz Au would represent a significant re-rating opportunity for the acquiring company.</w:t>
      </w:r>
    </w:p>
    <w:p>
      <w:pPr>
        <w:spacing w:after="200"/>
      </w:pPr>
    </w:p>
    <w:p>
      <w:pPr>
        <w:pBdr>
          <w:top w:val="single" w:color="C5A028" w:sz="8" w:space="6"/>
        </w:pBdr>
        <w:spacing w:after="80" w:before="240"/>
      </w:pPr>
      <w:r>
        <w:rPr>
          <w:rFonts w:ascii="Calibri" w:cs="Calibri" w:eastAsia="Calibri" w:hAnsi="Calibri"/>
          <w:b/>
          <w:bCs/>
          <w:color w:val="7A7460"/>
          <w:spacing w:val="60"/>
          <w:sz w:val="18"/>
          <w:szCs w:val="18"/>
        </w:rPr>
        <w:t xml:space="preserve">CONTACT</w:t>
      </w:r>
    </w:p>
    <w:p>
      <w:pPr>
        <w:spacing w:after="80"/>
      </w:pPr>
      <w:r>
        <w:rPr>
          <w:rFonts w:ascii="Calibri" w:cs="Calibri" w:eastAsia="Calibri" w:hAnsi="Calibri"/>
          <w:color w:val="7A7460"/>
          <w:sz w:val="20"/>
          <w:szCs w:val="20"/>
        </w:rPr>
        <w:t xml:space="preserve">Hugo  |  </w:t>
      </w:r>
      <w:r>
        <w:rPr>
          <w:rFonts w:ascii="Calibri" w:cs="Calibri" w:eastAsia="Calibri" w:hAnsi="Calibri"/>
          <w:b/>
          <w:bCs/>
          <w:color w:val="8B6C12"/>
          <w:sz w:val="20"/>
          <w:szCs w:val="20"/>
        </w:rPr>
        <w:t xml:space="preserve">hugo@kpcapital.com</w:t>
      </w:r>
      <w:r>
        <w:rPr>
          <w:rFonts w:ascii="Calibri" w:cs="Calibri" w:eastAsia="Calibri" w:hAnsi="Calibri"/>
          <w:color w:val="7A7460"/>
          <w:sz w:val="20"/>
          <w:szCs w:val="20"/>
        </w:rPr>
        <w:t xml:space="preserve">  |  778-985-8685</w:t>
      </w:r>
    </w:p>
    <w:sectPr>
      <w:headerReference w:type="default" r:id="rId7"/>
      <w:footerReference w:type="default" r:id="rId8"/>
      <w:pgSz w:w="12240" w:h="15840" w:orient="portrait"/>
      <w:pgMar w:top="1100" w:right="1300" w:bottom="11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7A7460"/>
        <w:sz w:val="16"/>
        <w:szCs w:val="16"/>
      </w:rPr>
      <w:t xml:space="preserve">Executive Summary  •  Page </w:t>
    </w:r>
    <w:r>
      <w:rPr>
        <w:rFonts w:ascii="Calibri" w:cs="Calibri" w:eastAsia="Calibri" w:hAnsi="Calibri"/>
        <w:color w:val="7A746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7A7460"/>
        <w:spacing w:val="40"/>
        <w:sz w:val="16"/>
        <w:szCs w:val="16"/>
      </w:rPr>
      <w:t xml:space="preserve">JINGO GOLD PROJECT  •  DATA ROOM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Calibri" w:cs="Calibri" w:eastAsia="Calibri" w:hAnsi="Calibri"/>
        <w:color w:val="8B6C12"/>
        <w:sz w:val="16"/>
        <w:szCs w:val="16"/>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Jingo Gold Project — Executive Summary</dc:title>
  <dc:creator>Jingo Data Room</dc:creator>
  <cp:lastModifiedBy>Un-named</cp:lastModifiedBy>
  <cp:revision>1</cp:revision>
  <dcterms:created xsi:type="dcterms:W3CDTF">2026-05-16T18:00:56.988Z</dcterms:created>
  <dcterms:modified xsi:type="dcterms:W3CDTF">2026-05-16T18:00:56.989Z</dcterms:modified>
</cp:coreProperties>
</file>

<file path=docProps/custom.xml><?xml version="1.0" encoding="utf-8"?>
<Properties xmlns="http://schemas.openxmlformats.org/officeDocument/2006/custom-properties" xmlns:vt="http://schemas.openxmlformats.org/officeDocument/2006/docPropsVTypes"/>
</file>