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7A7460"/>
          <w:spacing w:val="60"/>
          <w:sz w:val="17"/>
          <w:szCs w:val="17"/>
        </w:rPr>
        <w:t xml:space="preserve">PROJECT FACT SHEET — DOCUMENT 00.2  |  DATA ROOM</w:t>
      </w:r>
    </w:p>
    <w:p>
      <w:pPr>
        <w:spacing w:after="20"/>
      </w:pPr>
      <w:r>
        <w:rPr>
          <w:rFonts w:ascii="Georgia" w:cs="Georgia" w:eastAsia="Georgia" w:hAnsi="Georgia"/>
          <w:b/>
          <w:bCs/>
          <w:color w:val="1A1612"/>
          <w:sz w:val="48"/>
          <w:szCs w:val="48"/>
        </w:rPr>
        <w:t xml:space="preserve">Jingo Gold Project</w:t>
      </w:r>
    </w:p>
    <w:p>
      <w:pPr>
        <w:spacing w:after="40"/>
      </w:pPr>
      <w:r>
        <w:rPr>
          <w:rFonts w:ascii="Georgia" w:cs="Georgia" w:eastAsia="Georgia" w:hAnsi="Georgia"/>
          <w:i/>
          <w:iCs/>
          <w:color w:val="8B6C12"/>
          <w:sz w:val="26"/>
          <w:szCs w:val="26"/>
        </w:rPr>
        <w:t xml:space="preserve">Quick-Reference Project Parameters  —  Elmore County, Idaho</w:t>
      </w:r>
    </w:p>
    <w:p>
      <w:pPr>
        <w:pBdr>
          <w:bottom w:val="single" w:color="C5A028" w:sz="24" w:space="1"/>
        </w:pBdr>
        <w:spacing w:after="240"/>
      </w:pPr>
    </w:p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PROPERTY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Project Name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Jingo Gold Project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Jurisdiction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Idaho, U.S.A.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County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Elmore County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Mining District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Pine Grove Mining District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Closest Town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Fairfield, Idaho (~21 miles E)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Distance to Major City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~54 road miles N-NE of Mountain Home; ~50 km from Boise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Project Centroid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43.4060°N, 115.1966°W (NAD 83)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Access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Road directly to property; year-round access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Elevation Range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Approximately 5,000–6,000 ft</w:t>
            </w:r>
          </w:p>
        </w:tc>
      </w:tr>
    </w:tbl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LAND PACKAGE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Total Area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~261 acres (~106 hectares)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Claim Type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Unpatented mining claims (federal BLM land)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Claim Groups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Jingo Group, Hornett, Velvet, Good Life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Coverage Intent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Full known vein strike + along-strike extensions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Tenure Status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Active — federal annual maintenance required</w:t>
            </w:r>
          </w:p>
        </w:tc>
      </w:tr>
    </w:tbl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COMMODITIES &amp; GRADES (EXPLORATION STAGE)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1500"/>
        <w:gridCol w:w="1500"/>
        <w:gridCol w:w="3460"/>
      </w:tblGrid>
      <w:tr>
        <w:trPr>
          <w:tblHeader/>
        </w:trP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Source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Au (oz/t)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Ag (oz/t)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Type / Notes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1933 Production (153 t)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1.28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6.70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Bulk shipment — historic shipping grade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Sample 6803 (Oct 1985)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1.057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11.25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Grab — bug hole quartz, peak modern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Sample 6811 (Oct 1985)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0.734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8.18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Grab — white-gray quartz, Fe spider web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Sample 878 (May 1986)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0.802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1.95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Grab — high-grade FeOx-stained dump rock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Sample 877 (May 1986)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B6C12"/>
                <w:sz w:val="20"/>
                <w:szCs w:val="20"/>
              </w:rPr>
              <w:t xml:space="preserve">0.532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0.27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Channel cut — 8' of qtz vein with HW gouge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Sample 6810 (Oct 1985)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0.299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2.86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Grab — fine grain quartz, Cu stains</w:t>
            </w:r>
          </w:p>
        </w:tc>
      </w:tr>
      <w:tr>
        <w:tc>
          <w:tcPr>
            <w:tcW w:type="dxa" w:w="29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1985 Avg (7 samples)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2A2418"/>
                <w:sz w:val="20"/>
                <w:szCs w:val="20"/>
              </w:rPr>
              <w:t xml:space="preserve">0.109</w:t>
            </w:r>
          </w:p>
        </w:tc>
        <w:tc>
          <w:tcPr>
            <w:tcW w:type="dxa" w:w="15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0.65</w:t>
            </w:r>
          </w:p>
        </w:tc>
        <w:tc>
          <w:tcPr>
            <w:tcW w:type="dxa" w:w="34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Average of August 1985 program</w:t>
            </w:r>
          </w:p>
        </w:tc>
      </w:tr>
    </w:tbl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GEOLOGY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Deposit Style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Epithermal bull-quartz fissure vein system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Host Rocks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Granodiorite / quartz monzodiorite (Idaho Batholith)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Adjacent Lithologies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Cretaceous granite (north); younger dacites (south); olivine tholeiite basalt regionally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Vein Strike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~N60°E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Vein Dip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75°–90° South (steep)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Vein Width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1–6 ft typical; up to 10 ft near workings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Vein Length (mapped)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Long, discontinuous along strike — ~1 km mapped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Sulphide Minerals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Pyrite (disseminated), galena, sphalerite, occasional Cu sulphide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Key Texture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"Bug hole" quartz with spider-web iron staining hosts highest grades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Alteration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Silicification of granite hanging wall (also carries gold)</w:t>
            </w:r>
          </w:p>
        </w:tc>
      </w:tr>
    </w:tbl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EXPLORATION HISTORY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1893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Original discovery (Jumbo and Hercules claims)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1903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Salt Lake City company operated under bond; 600 ft of development on the fissure vein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1933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Shipment of 153 tons → 1.28 oz/t Au, 6.70 oz/t Ag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Aug 1985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7-sample channel and dump sampling program (Boise Assayer)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Oct 1985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13-sample detailed grab program — peak result 1.057 oz/t Au + 11.25 oz/t Ag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May 1986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12-sample program — 8' channel cut at 0.532 oz/t Au; high-grade grabs to 0.802 oz/t Au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2025–26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Property assembled and presented for transaction</w:t>
            </w:r>
          </w:p>
        </w:tc>
      </w:tr>
    </w:tbl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INFRASTRUCTURE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Road Access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Direct road access to property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Power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Idaho grid accessible — area is populated rural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Water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Local watershed (South Fork Boise River basin)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Nearest Town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Fairfield (~21 miles E)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Nearest Airport (commercial)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Boise (~50 km SW)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80"/>
              <w:bottom w:type="dxa" w:w="100"/>
              <w:right w:type="dxa" w:w="14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612"/>
                <w:sz w:val="19"/>
                <w:szCs w:val="19"/>
              </w:rPr>
              <w:t xml:space="preserve">Nearest Mill / Processing</w:t>
            </w:r>
          </w:p>
        </w:tc>
        <w:tc>
          <w:tcPr>
            <w:tcW w:type="dxa" w:w="61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Multiple historic and active operations in district</w:t>
            </w:r>
          </w:p>
        </w:tc>
      </w:tr>
    </w:tbl>
    <w:p>
      <w:pPr>
        <w:pBdr>
          <w:bottom w:val="single" w:color="C5A028" w:sz="12" w:space="4"/>
        </w:pBdr>
        <w:spacing w:after="160" w:before="320"/>
      </w:pPr>
      <w:r>
        <w:rPr>
          <w:rFonts w:ascii="Georgia" w:cs="Georgia" w:eastAsia="Georgia" w:hAnsi="Georgia"/>
          <w:b/>
          <w:bCs/>
          <w:color w:val="1A1612"/>
          <w:spacing w:val="30"/>
          <w:sz w:val="24"/>
          <w:szCs w:val="24"/>
        </w:rPr>
        <w:t xml:space="preserve">ADJACENT / REGIONAL CONTEXT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400"/>
        <w:gridCol w:w="3760"/>
      </w:tblGrid>
      <w:tr>
        <w:trPr>
          <w:tblHeader/>
        </w:trP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Project / Operator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Stage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1A1612" w:val="clear"/>
            <w:tcMar>
              <w:top w:type="dxa" w:w="110"/>
              <w:left w:type="dxa" w:w="140"/>
              <w:bottom w:type="dxa" w:w="11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5A028"/>
                <w:spacing w:val="30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Stibnite Gold (Perpetua Resources)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Permitted dev.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World-class Au-Sb project; +4 Moz Au reserve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Beartrack-Arnett (Revival Gold)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Past producer / dev.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Multi-million oz Au resource; PFS stage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DeLamar (Integra Resources)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PFS/FS stage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Past Au-Ag producer; PFS-stage resource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Black Pine (Liberty Gold)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PFS stage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Au heap-leach restart project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Last Chance (historic)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Historic mine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Au-Ag, same regional structural trend NE of Jingo</w:t>
            </w:r>
          </w:p>
        </w:tc>
      </w:tr>
      <w:tr>
        <w:tc>
          <w:tcPr>
            <w:tcW w:type="dxa" w:w="32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2418"/>
                <w:sz w:val="20"/>
                <w:szCs w:val="20"/>
              </w:rPr>
              <w:t xml:space="preserve">Lucky Friday (Hecla)</w:t>
            </w:r>
          </w:p>
        </w:tc>
        <w:tc>
          <w:tcPr>
            <w:tcW w:type="dxa" w:w="240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2A2418"/>
                <w:sz w:val="20"/>
                <w:szCs w:val="20"/>
              </w:rPr>
              <w:t xml:space="preserve">Active mine</w:t>
            </w:r>
          </w:p>
        </w:tc>
        <w:tc>
          <w:tcPr>
            <w:tcW w:type="dxa" w:w="3760"/>
            <w:tcBorders>
              <w:top w:val="single" w:color="D8D0B5" w:sz="4"/>
              <w:left w:val="single" w:color="D8D0B5" w:sz="4"/>
              <w:bottom w:val="single" w:color="D8D0B5" w:sz="4"/>
              <w:right w:val="single" w:color="D8D0B5" w:sz="4"/>
            </w:tcBorders>
            <w:shd w:fill="F5EF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color w:val="7A7460"/>
                <w:sz w:val="18"/>
                <w:szCs w:val="18"/>
              </w:rPr>
              <w:t xml:space="preserve">World-class Ag producer (Coeur d'Alene district)</w:t>
            </w:r>
          </w:p>
        </w:tc>
      </w:tr>
    </w:tbl>
    <w:p>
      <w:pPr>
        <w:spacing w:after="20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1A1612"/>
          <w:sz w:val="20"/>
          <w:szCs w:val="20"/>
        </w:rPr>
        <w:t xml:space="preserve">Contact: </w:t>
      </w:r>
      <w:r>
        <w:rPr>
          <w:rFonts w:ascii="Calibri" w:cs="Calibri" w:eastAsia="Calibri" w:hAnsi="Calibri"/>
          <w:color w:val="8B6C12"/>
          <w:sz w:val="20"/>
          <w:szCs w:val="20"/>
        </w:rPr>
        <w:t xml:space="preserve">Hugo  |  hugo@kpcapital.com  |  778-985-8685</w:t>
      </w:r>
    </w:p>
    <w:p>
      <w:pPr>
        <w:spacing w:after="80" w:line="280"/>
      </w:pPr>
      <w:r>
        <w:rPr>
          <w:rFonts w:ascii="Calibri" w:cs="Calibri" w:eastAsia="Calibri" w:hAnsi="Calibri"/>
          <w:i/>
          <w:iCs/>
          <w:color w:val="7A7460"/>
          <w:sz w:val="17"/>
          <w:szCs w:val="17"/>
        </w:rPr>
        <w:t xml:space="preserve">All historic assays pre-date modern NI 43-101 / SK 1300 QA/QC. Grades are exploration indicators only. Adjacent project data is from public operator disclosures.</w:t>
      </w:r>
    </w:p>
    <w:sectPr>
      <w:headerReference w:type="default" r:id="rId7"/>
      <w:footerReference w:type="default" r:id="rId8"/>
      <w:pgSz w:w="12240" w:h="15840" w:orient="portrait"/>
      <w:pgMar w:top="1100" w:right="1300" w:bottom="11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A7460"/>
        <w:sz w:val="16"/>
        <w:szCs w:val="16"/>
      </w:rPr>
      <w:t xml:space="preserve">Project Fact Sheet  •  Page </w:t>
    </w:r>
    <w:r>
      <w:rPr>
        <w:rFonts w:ascii="Calibri" w:cs="Calibri" w:eastAsia="Calibri" w:hAnsi="Calibri"/>
        <w:color w:val="7A74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color w:val="7A7460"/>
        <w:spacing w:val="40"/>
        <w:sz w:val="16"/>
        <w:szCs w:val="16"/>
      </w:rPr>
      <w:t xml:space="preserve">JINGO GOLD PROJECT  •  DATA ROOM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Jingo Gold Project — Fact Sheet</dc:title>
  <dc:creator>Jingo Data Room</dc:creator>
  <cp:lastModifiedBy>Un-named</cp:lastModifiedBy>
  <cp:revision>1</cp:revision>
  <dcterms:created xsi:type="dcterms:W3CDTF">2026-05-16T18:00:57.106Z</dcterms:created>
  <dcterms:modified xsi:type="dcterms:W3CDTF">2026-05-16T18:00:57.106Z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