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</w:pPr>
      <w:r>
        <w:rPr>
          <w:rFonts w:ascii="Calibri" w:cs="Calibri" w:eastAsia="Calibri" w:hAnsi="Calibri"/>
          <w:b/>
          <w:bCs/>
          <w:color w:val="7A7460"/>
          <w:spacing w:val="60"/>
          <w:sz w:val="17"/>
          <w:szCs w:val="17"/>
        </w:rPr>
        <w:t xml:space="preserve">VENDOR DATA SHEET  |  DATA ROOM — DOCUMENT 00.3</w:t>
      </w:r>
    </w:p>
    <w:p>
      <w:pPr>
        <w:spacing w:after="16"/>
      </w:pPr>
      <w:r>
        <w:rPr>
          <w:rFonts w:ascii="Georgia" w:cs="Georgia" w:eastAsia="Georgia" w:hAnsi="Georgia"/>
          <w:b/>
          <w:bCs/>
          <w:color w:val="1A1612"/>
          <w:spacing w:val="20"/>
          <w:sz w:val="76"/>
          <w:szCs w:val="76"/>
        </w:rPr>
        <w:t xml:space="preserve">JINGO GOLD</w:t>
      </w:r>
    </w:p>
    <w:p>
      <w:pPr>
        <w:spacing w:after="16"/>
      </w:pPr>
      <w:r>
        <w:rPr>
          <w:rFonts w:ascii="Georgia" w:cs="Georgia" w:eastAsia="Georgia" w:hAnsi="Georgia"/>
          <w:i/>
          <w:iCs/>
          <w:color w:val="8B6C12"/>
          <w:sz w:val="30"/>
          <w:szCs w:val="30"/>
        </w:rPr>
        <w:t xml:space="preserve">High-Grade Au-Ag Vein System  —  Pine Grove District, Idaho</w:t>
      </w:r>
    </w:p>
    <w:p>
      <w:pPr>
        <w:spacing w:after="16"/>
      </w:pPr>
      <w:r>
        <w:rPr>
          <w:rFonts w:ascii="Calibri" w:cs="Calibri" w:eastAsia="Calibri" w:hAnsi="Calibri"/>
          <w:color w:val="7A7460"/>
          <w:sz w:val="22"/>
          <w:szCs w:val="22"/>
        </w:rPr>
        <w:t xml:space="preserve">~261 Acres  /  4 Claim Groups  /  Elmore County, Idaho</w:t>
      </w:r>
      <w:r>
        <w:rPr>
          <w:rFonts w:ascii="Calibri" w:cs="Calibri" w:eastAsia="Calibri" w:hAnsi="Calibri"/>
          <w:color w:val="D8D0B5"/>
          <w:sz w:val="22"/>
          <w:szCs w:val="22"/>
        </w:rPr>
        <w:t xml:space="preserve">   |   </w:t>
      </w:r>
      <w:r>
        <w:rPr>
          <w:rFonts w:ascii="Calibri" w:cs="Calibri" w:eastAsia="Calibri" w:hAnsi="Calibri"/>
          <w:color w:val="7A7460"/>
          <w:sz w:val="22"/>
          <w:szCs w:val="22"/>
        </w:rPr>
        <w:t xml:space="preserve">~600 ft of Underground Workings</w:t>
      </w:r>
    </w:p>
    <w:p>
      <w:pPr>
        <w:pBdr>
          <w:bottom w:val="single" w:color="C5A028" w:sz="28" w:space="1"/>
        </w:pBdr>
        <w:spacing w:after="2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220"/>
              <w:left w:type="dxa" w:w="200"/>
              <w:bottom w:type="dxa" w:w="220"/>
              <w:right w:type="dxa" w:w="200"/>
            </w:tcMar>
          </w:tcPr>
          <w:p>
            <w:pPr>
              <w:spacing w:after="6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56"/>
                <w:szCs w:val="56"/>
              </w:rPr>
              <w:t xml:space="preserve">1.28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F0E8D0"/>
                <w:sz w:val="18"/>
                <w:szCs w:val="18"/>
              </w:rPr>
              <w:t xml:space="preserve">oz/t Au  —  Historic
Shipping Ore (1933)</w:t>
            </w:r>
          </w:p>
        </w:tc>
        <w:tc>
          <w:tcPr>
            <w:tcW w:type="dxa" w:w="23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220"/>
              <w:left w:type="dxa" w:w="200"/>
              <w:bottom w:type="dxa" w:w="220"/>
              <w:right w:type="dxa" w:w="200"/>
            </w:tcMar>
          </w:tcPr>
          <w:p>
            <w:pPr>
              <w:spacing w:after="6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56"/>
                <w:szCs w:val="56"/>
              </w:rPr>
              <w:t xml:space="preserve">1.057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F0E8D0"/>
                <w:sz w:val="18"/>
                <w:szCs w:val="18"/>
              </w:rPr>
              <w:t xml:space="preserve">oz/t Au  —  Peak
Modern Sample (1985)</w:t>
            </w:r>
          </w:p>
        </w:tc>
        <w:tc>
          <w:tcPr>
            <w:tcW w:type="dxa" w:w="23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220"/>
              <w:left w:type="dxa" w:w="200"/>
              <w:bottom w:type="dxa" w:w="220"/>
              <w:right w:type="dxa" w:w="200"/>
            </w:tcMar>
          </w:tcPr>
          <w:p>
            <w:pPr>
              <w:spacing w:after="6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56"/>
                <w:szCs w:val="56"/>
              </w:rPr>
              <w:t xml:space="preserve">600 ft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F0E8D0"/>
                <w:sz w:val="18"/>
                <w:szCs w:val="18"/>
              </w:rPr>
              <w:t xml:space="preserve">Underground
Workings</w:t>
            </w:r>
          </w:p>
        </w:tc>
        <w:tc>
          <w:tcPr>
            <w:tcW w:type="dxa" w:w="234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220"/>
              <w:left w:type="dxa" w:w="200"/>
              <w:bottom w:type="dxa" w:w="220"/>
              <w:right w:type="dxa" w:w="200"/>
            </w:tcMar>
          </w:tcPr>
          <w:p>
            <w:pPr>
              <w:spacing w:after="6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56"/>
                <w:szCs w:val="56"/>
              </w:rPr>
              <w:t xml:space="preserve">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F0E8D0"/>
                <w:sz w:val="18"/>
                <w:szCs w:val="18"/>
              </w:rPr>
              <w:t xml:space="preserve">Modern
Drill Holes</w:t>
            </w:r>
          </w:p>
        </w:tc>
      </w:tr>
    </w:tbl>
    <w:p>
      <w:pPr>
        <w:spacing w:after="280"/>
      </w:pPr>
    </w:p>
    <w:p>
      <w:pPr>
        <w:spacing w:after="200" w:before="0"/>
      </w:pPr>
      <w:r>
        <w:rPr>
          <w:rFonts w:ascii="Georgia" w:cs="Georgia" w:eastAsia="Georgia" w:hAnsi="Georgia"/>
          <w:b/>
          <w:bCs/>
          <w:color w:val="1A1612"/>
          <w:spacing w:val="40"/>
          <w:sz w:val="26"/>
          <w:szCs w:val="26"/>
        </w:rPr>
        <w:t xml:space="preserve">SIX REASONS TO DRILL JINGO NOW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"/>
        <w:gridCol w:w="8680"/>
      </w:tblGrid>
      <w:tr>
        <w:tc>
          <w:tcPr>
            <w:tcW w:type="dxa" w:w="6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32"/>
                <w:szCs w:val="32"/>
              </w:rPr>
              <w:t xml:space="preserve">1</w:t>
            </w:r>
          </w:p>
        </w:tc>
        <w:tc>
          <w:tcPr>
            <w:tcW w:type="dxa" w:w="86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40"/>
              <w:left w:type="dxa" w:w="200"/>
              <w:bottom w:type="dxa" w:w="140"/>
              <w:right w:type="dxa" w:w="16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1A1612"/>
                <w:sz w:val="24"/>
                <w:szCs w:val="24"/>
              </w:rPr>
              <w:t xml:space="preserve">Proven Historic Production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A3A3A"/>
                <w:sz w:val="20"/>
                <w:szCs w:val="20"/>
              </w:rPr>
              <w:t xml:space="preserve">A 1933 documented shipment of 153 tons returned 1.28 oz/t Au and 6.70 oz/t Ag — exceptional shipping-grade material. The vein has been mined; the ore has been smelted. This is not a greenfields gamble — it's a brownfields step into a known producing system.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"/>
        <w:gridCol w:w="8680"/>
      </w:tblGrid>
      <w:tr>
        <w:tc>
          <w:tcPr>
            <w:tcW w:type="dxa" w:w="6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32"/>
                <w:szCs w:val="32"/>
              </w:rPr>
              <w:t xml:space="preserve">2</w:t>
            </w:r>
          </w:p>
        </w:tc>
        <w:tc>
          <w:tcPr>
            <w:tcW w:type="dxa" w:w="86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40"/>
              <w:left w:type="dxa" w:w="200"/>
              <w:bottom w:type="dxa" w:w="140"/>
              <w:right w:type="dxa" w:w="16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1A1612"/>
                <w:sz w:val="24"/>
                <w:szCs w:val="24"/>
              </w:rPr>
              <w:t xml:space="preserve">Modern High-Grade Confirmation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A3A3A"/>
                <w:sz w:val="20"/>
                <w:szCs w:val="20"/>
              </w:rPr>
              <w:t xml:space="preserve">Sunshine Mining Company sampling in October 1985 returned a peak result of 1.057 oz/t Au plus 11.25 oz/t Ag from bug-hole quartz with characteristic spider-web iron staining. A subsequent 8-foot channel cut returned 0.532 oz/t Au — confirming the system holds true width grades at high values.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"/>
        <w:gridCol w:w="8680"/>
      </w:tblGrid>
      <w:tr>
        <w:tc>
          <w:tcPr>
            <w:tcW w:type="dxa" w:w="6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32"/>
                <w:szCs w:val="32"/>
              </w:rPr>
              <w:t xml:space="preserve">3</w:t>
            </w:r>
          </w:p>
        </w:tc>
        <w:tc>
          <w:tcPr>
            <w:tcW w:type="dxa" w:w="86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40"/>
              <w:left w:type="dxa" w:w="200"/>
              <w:bottom w:type="dxa" w:w="140"/>
              <w:right w:type="dxa" w:w="16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1A1612"/>
                <w:sz w:val="24"/>
                <w:szCs w:val="24"/>
              </w:rPr>
              <w:t xml:space="preserve">Untested Depth — All Upside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A3A3A"/>
                <w:sz w:val="20"/>
                <w:szCs w:val="20"/>
              </w:rPr>
              <w:t xml:space="preserve">Approximately 600 feet of historic underground workings exist, but no modern drilling has ever been completed on the property. Epithermal bull-quartz fissure vein systems of this style routinely host plunging ore shoots extending hundreds of metres below surface. The Jingo system is open at depth in every direction tested.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"/>
        <w:gridCol w:w="8680"/>
      </w:tblGrid>
      <w:tr>
        <w:tc>
          <w:tcPr>
            <w:tcW w:type="dxa" w:w="6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32"/>
                <w:szCs w:val="32"/>
              </w:rPr>
              <w:t xml:space="preserve">4</w:t>
            </w:r>
          </w:p>
        </w:tc>
        <w:tc>
          <w:tcPr>
            <w:tcW w:type="dxa" w:w="86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40"/>
              <w:left w:type="dxa" w:w="200"/>
              <w:bottom w:type="dxa" w:w="140"/>
              <w:right w:type="dxa" w:w="16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1A1612"/>
                <w:sz w:val="24"/>
                <w:szCs w:val="24"/>
              </w:rPr>
              <w:t xml:space="preserve">Tier-1 Mining Jurisdiction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A3A3A"/>
                <w:sz w:val="20"/>
                <w:szCs w:val="20"/>
              </w:rPr>
              <w:t xml:space="preserve">Idaho is one of the top-ranked mining jurisdictions globally. Active and near-development gold projects in-state include Perpetua's Stibnite (+4 Moz Au), Revival Gold's Beartrack-Arnett, Integra's DeLamar, and Liberty Gold's Black Pine. Federal BLM permitting is established and predictable.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"/>
        <w:gridCol w:w="8680"/>
      </w:tblGrid>
      <w:tr>
        <w:tc>
          <w:tcPr>
            <w:tcW w:type="dxa" w:w="6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32"/>
                <w:szCs w:val="32"/>
              </w:rPr>
              <w:t xml:space="preserve">5</w:t>
            </w:r>
          </w:p>
        </w:tc>
        <w:tc>
          <w:tcPr>
            <w:tcW w:type="dxa" w:w="86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40"/>
              <w:left w:type="dxa" w:w="200"/>
              <w:bottom w:type="dxa" w:w="140"/>
              <w:right w:type="dxa" w:w="16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1A1612"/>
                <w:sz w:val="24"/>
                <w:szCs w:val="24"/>
              </w:rPr>
              <w:t xml:space="preserve">District-Scale Context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A3A3A"/>
                <w:sz w:val="20"/>
                <w:szCs w:val="20"/>
              </w:rPr>
              <w:t xml:space="preserve">The Pine Grove district hosts dozens of historic Au-Ag-Cu-Pb mines. The Last Chance Au-Ag deposit lies along the same structural trend to the northeast. Multiple analogous high-grade vein systems in the area confirm a district-scale mineralizing event.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"/>
        <w:gridCol w:w="8680"/>
      </w:tblGrid>
      <w:tr>
        <w:tc>
          <w:tcPr>
            <w:tcW w:type="dxa" w:w="6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32"/>
                <w:szCs w:val="32"/>
              </w:rPr>
              <w:t xml:space="preserve">6</w:t>
            </w:r>
          </w:p>
        </w:tc>
        <w:tc>
          <w:tcPr>
            <w:tcW w:type="dxa" w:w="868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40"/>
              <w:left w:type="dxa" w:w="200"/>
              <w:bottom w:type="dxa" w:w="140"/>
              <w:right w:type="dxa" w:w="16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1A1612"/>
                <w:sz w:val="24"/>
                <w:szCs w:val="24"/>
              </w:rPr>
              <w:t xml:space="preserve">Modest Phase 1 Cost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A3A3A"/>
                <w:sz w:val="20"/>
                <w:szCs w:val="20"/>
              </w:rPr>
              <w:t xml:space="preserve">An indicative Phase 1 program of mapping, modern channel sampling, ground geophysics, and 5–8 RC or core drill holes is budgeted at USD 600,000 – 1,200,000. At Idaho gold-project discovery valuations, even a modest 100,000–250,000 oz Au maiden resource would represent a significant re-rating opportunity.</w:t>
            </w:r>
          </w:p>
        </w:tc>
      </w:tr>
    </w:tbl>
    <w:p>
      <w:pPr>
        <w:spacing w:after="240"/>
      </w:pPr>
    </w:p>
    <w:p>
      <w:pPr>
        <w:pBdr>
          <w:top w:val="single" w:color="C5A028" w:sz="24" w:space="6"/>
        </w:pBdr>
        <w:spacing w:after="140" w:before="2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00"/>
        <w:gridCol w:w="3160"/>
      </w:tblGrid>
      <w:tr>
        <w:tc>
          <w:tcPr>
            <w:tcW w:type="dxa" w:w="62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1A1612"/>
                <w:sz w:val="26"/>
                <w:szCs w:val="26"/>
              </w:rPr>
              <w:t xml:space="preserve">Ready to acquire or option the next Idaho gold discovery?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A7460"/>
                <w:sz w:val="21"/>
                <w:szCs w:val="21"/>
              </w:rPr>
              <w:t xml:space="preserve">Full data room including historic assay records, geological maps, claim documentation, indicative financial analysis, and a structured due diligence checklist is available to qualified parties under NDA.</w:t>
            </w:r>
          </w:p>
        </w:tc>
        <w:tc>
          <w:tcPr>
            <w:tcW w:type="dxa" w:w="3160"/>
            <w:tcBorders>
              <w:top w:val="none"/>
              <w:left w:val="none"/>
              <w:bottom w:val="none"/>
              <w:right w:val="none"/>
            </w:tcBorders>
            <w:shd w:fill="1A1612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40"/>
                <w:sz w:val="18"/>
                <w:szCs w:val="18"/>
              </w:rPr>
              <w:t xml:space="preserve">CONTACT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Hugo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color w:val="F0E8D0"/>
                <w:sz w:val="18"/>
                <w:szCs w:val="18"/>
              </w:rPr>
              <w:t xml:space="preserve">hugo@kpcapital.com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z w:val="20"/>
                <w:szCs w:val="20"/>
              </w:rPr>
              <w:t xml:space="preserve">778-985-8685</w:t>
            </w:r>
          </w:p>
        </w:tc>
      </w:tr>
    </w:tbl>
    <w:p>
      <w:pPr>
        <w:spacing w:after="80"/>
      </w:pPr>
    </w:p>
    <w:p>
      <w:pPr>
        <w:spacing w:after="0"/>
      </w:pPr>
      <w:r>
        <w:rPr>
          <w:rFonts w:ascii="Calibri" w:cs="Calibri" w:eastAsia="Calibri" w:hAnsi="Calibri"/>
          <w:i/>
          <w:iCs/>
          <w:color w:val="7A7460"/>
          <w:sz w:val="16"/>
          <w:szCs w:val="16"/>
        </w:rPr>
        <w:t xml:space="preserve">All historical and modern (pre-2025) assays pre-date current NI 43-101 / SK 1300 QA/QC standards. Grade information is exploration data only — not a mineral resource or reserve estimate. Independent due diligence required.</w:t>
      </w:r>
    </w:p>
    <w:sectPr>
      <w:headerReference w:type="default" r:id="rId7"/>
      <w:footerReference w:type="default" r:id="rId8"/>
      <w:pgSz w:w="12240" w:h="15840" w:orient="portrait"/>
      <w:pgMar w:top="1100" w:right="1300" w:bottom="11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A7460"/>
        <w:sz w:val="16"/>
        <w:szCs w:val="16"/>
      </w:rPr>
      <w:t xml:space="preserve">Vendor Data Sheet  •  Page </w:t>
    </w:r>
    <w:r>
      <w:rPr>
        <w:rFonts w:ascii="Calibri" w:cs="Calibri" w:eastAsia="Calibri" w:hAnsi="Calibri"/>
        <w:color w:val="7A746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color w:val="7A7460"/>
        <w:spacing w:val="40"/>
        <w:sz w:val="16"/>
        <w:szCs w:val="16"/>
      </w:rPr>
      <w:t xml:space="preserve">JINGO GOLD PROJECT  •  DATA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Jingo Gold Project — Vendor Data Sheet</dc:title>
  <dc:creator>Jingo Data Room</dc:creator>
  <cp:lastModifiedBy>Un-named</cp:lastModifiedBy>
  <cp:revision>1</cp:revision>
  <dcterms:created xsi:type="dcterms:W3CDTF">2026-05-16T18:00:57.285Z</dcterms:created>
  <dcterms:modified xsi:type="dcterms:W3CDTF">2026-05-16T18:00:57.285Z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