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pPr>
      <w:r>
        <w:rPr>
          <w:rFonts w:ascii="Calibri" w:cs="Calibri" w:eastAsia="Calibri" w:hAnsi="Calibri"/>
          <w:b/>
          <w:bCs/>
          <w:color w:val="7A7460"/>
          <w:spacing w:val="60"/>
          <w:sz w:val="17"/>
          <w:szCs w:val="17"/>
        </w:rPr>
        <w:t xml:space="preserve">CLAIMS REGISTER — DOCUMENT 01.1  |  DATA ROOM</w:t>
      </w:r>
    </w:p>
    <w:p>
      <w:pPr>
        <w:spacing w:after="20"/>
      </w:pPr>
      <w:r>
        <w:rPr>
          <w:rFonts w:ascii="Georgia" w:cs="Georgia" w:eastAsia="Georgia" w:hAnsi="Georgia"/>
          <w:b/>
          <w:bCs/>
          <w:color w:val="1A1612"/>
          <w:sz w:val="48"/>
          <w:szCs w:val="48"/>
        </w:rPr>
        <w:t xml:space="preserve">Property &amp; Claims</w:t>
      </w:r>
    </w:p>
    <w:p>
      <w:pPr>
        <w:spacing w:after="40"/>
      </w:pPr>
      <w:r>
        <w:rPr>
          <w:rFonts w:ascii="Georgia" w:cs="Georgia" w:eastAsia="Georgia" w:hAnsi="Georgia"/>
          <w:i/>
          <w:iCs/>
          <w:color w:val="8B6C12"/>
          <w:sz w:val="26"/>
          <w:szCs w:val="26"/>
        </w:rPr>
        <w:t xml:space="preserve">Jingo Gold Project — Unpatented Mining Claims, BLM Federal Land</w:t>
      </w:r>
    </w:p>
    <w:p>
      <w:pPr>
        <w:pBdr>
          <w:bottom w:val="single" w:color="C5A028" w:sz="24" w:space="1"/>
        </w:pBdr>
        <w:spacing w:after="240"/>
      </w:pPr>
    </w:p>
    <w:p>
      <w:pPr>
        <w:pStyle w:val="Heading1"/>
        <w:spacing w:after="180" w:before="360"/>
      </w:pPr>
      <w:r>
        <w:rPr>
          <w:rFonts w:ascii="Georgia" w:cs="Georgia" w:eastAsia="Georgia" w:hAnsi="Georgia"/>
          <w:b/>
          <w:bCs/>
          <w:color w:val="1A1612"/>
          <w:sz w:val="32"/>
          <w:szCs w:val="32"/>
        </w:rPr>
        <w:t xml:space="preserve">Property Summary</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D8D0B5" w:sz="4"/>
              <w:left w:val="single" w:color="D8D0B5" w:sz="4"/>
              <w:bottom w:val="single" w:color="D8D0B5" w:sz="4"/>
              <w:right w:val="single" w:color="D8D0B5" w:sz="4"/>
            </w:tcBorders>
            <w:shd w:fill="F5EFD9" w:val="clear"/>
            <w:tcMar>
              <w:top w:type="dxa" w:w="100"/>
              <w:left w:type="dxa" w:w="180"/>
              <w:bottom w:type="dxa" w:w="100"/>
              <w:right w:type="dxa" w:w="140"/>
            </w:tcMar>
          </w:tcPr>
          <w:p>
            <w:r>
              <w:rPr>
                <w:rFonts w:ascii="Calibri" w:cs="Calibri" w:eastAsia="Calibri" w:hAnsi="Calibri"/>
                <w:b/>
                <w:bCs/>
                <w:color w:val="1A1612"/>
                <w:sz w:val="19"/>
                <w:szCs w:val="19"/>
              </w:rPr>
              <w:t xml:space="preserve">Project Name</w:t>
            </w:r>
          </w:p>
        </w:tc>
        <w:tc>
          <w:tcPr>
            <w:tcW w:type="dxa" w:w="6160"/>
            <w:tcBorders>
              <w:top w:val="single" w:color="D8D0B5" w:sz="4"/>
              <w:left w:val="single" w:color="D8D0B5" w:sz="4"/>
              <w:bottom w:val="single" w:color="D8D0B5" w:sz="4"/>
              <w:right w:val="single" w:color="D8D0B5" w:sz="4"/>
            </w:tcBorders>
            <w:tcMar>
              <w:top w:type="dxa" w:w="100"/>
              <w:left w:type="dxa" w:w="160"/>
              <w:bottom w:type="dxa" w:w="100"/>
              <w:right w:type="dxa" w:w="160"/>
            </w:tcMar>
          </w:tcPr>
          <w:p>
            <w:r>
              <w:rPr>
                <w:rFonts w:ascii="Calibri" w:cs="Calibri" w:eastAsia="Calibri" w:hAnsi="Calibri"/>
                <w:color w:val="2A2418"/>
                <w:sz w:val="20"/>
                <w:szCs w:val="20"/>
              </w:rPr>
              <w:t xml:space="preserve">Jingo Gold Project</w:t>
            </w:r>
          </w:p>
        </w:tc>
      </w:tr>
      <w:tr>
        <w:tc>
          <w:tcPr>
            <w:tcW w:type="dxa" w:w="3200"/>
            <w:tcBorders>
              <w:top w:val="single" w:color="D8D0B5" w:sz="4"/>
              <w:left w:val="single" w:color="D8D0B5" w:sz="4"/>
              <w:bottom w:val="single" w:color="D8D0B5" w:sz="4"/>
              <w:right w:val="single" w:color="D8D0B5" w:sz="4"/>
            </w:tcBorders>
            <w:shd w:fill="F5EFD9" w:val="clear"/>
            <w:tcMar>
              <w:top w:type="dxa" w:w="100"/>
              <w:left w:type="dxa" w:w="180"/>
              <w:bottom w:type="dxa" w:w="100"/>
              <w:right w:type="dxa" w:w="140"/>
            </w:tcMar>
          </w:tcPr>
          <w:p>
            <w:r>
              <w:rPr>
                <w:rFonts w:ascii="Calibri" w:cs="Calibri" w:eastAsia="Calibri" w:hAnsi="Calibri"/>
                <w:b/>
                <w:bCs/>
                <w:color w:val="1A1612"/>
                <w:sz w:val="19"/>
                <w:szCs w:val="19"/>
              </w:rPr>
              <w:t xml:space="preserve">State</w:t>
            </w:r>
          </w:p>
        </w:tc>
        <w:tc>
          <w:tcPr>
            <w:tcW w:type="dxa" w:w="6160"/>
            <w:tcBorders>
              <w:top w:val="single" w:color="D8D0B5" w:sz="4"/>
              <w:left w:val="single" w:color="D8D0B5" w:sz="4"/>
              <w:bottom w:val="single" w:color="D8D0B5" w:sz="4"/>
              <w:right w:val="single" w:color="D8D0B5" w:sz="4"/>
            </w:tcBorders>
            <w:tcMar>
              <w:top w:type="dxa" w:w="100"/>
              <w:left w:type="dxa" w:w="160"/>
              <w:bottom w:type="dxa" w:w="100"/>
              <w:right w:type="dxa" w:w="160"/>
            </w:tcMar>
          </w:tcPr>
          <w:p>
            <w:r>
              <w:rPr>
                <w:rFonts w:ascii="Calibri" w:cs="Calibri" w:eastAsia="Calibri" w:hAnsi="Calibri"/>
                <w:color w:val="2A2418"/>
                <w:sz w:val="20"/>
                <w:szCs w:val="20"/>
              </w:rPr>
              <w:t xml:space="preserve">Idaho, U.S.A.</w:t>
            </w:r>
          </w:p>
        </w:tc>
      </w:tr>
      <w:tr>
        <w:tc>
          <w:tcPr>
            <w:tcW w:type="dxa" w:w="3200"/>
            <w:tcBorders>
              <w:top w:val="single" w:color="D8D0B5" w:sz="4"/>
              <w:left w:val="single" w:color="D8D0B5" w:sz="4"/>
              <w:bottom w:val="single" w:color="D8D0B5" w:sz="4"/>
              <w:right w:val="single" w:color="D8D0B5" w:sz="4"/>
            </w:tcBorders>
            <w:shd w:fill="F5EFD9" w:val="clear"/>
            <w:tcMar>
              <w:top w:type="dxa" w:w="100"/>
              <w:left w:type="dxa" w:w="180"/>
              <w:bottom w:type="dxa" w:w="100"/>
              <w:right w:type="dxa" w:w="140"/>
            </w:tcMar>
          </w:tcPr>
          <w:p>
            <w:r>
              <w:rPr>
                <w:rFonts w:ascii="Calibri" w:cs="Calibri" w:eastAsia="Calibri" w:hAnsi="Calibri"/>
                <w:b/>
                <w:bCs/>
                <w:color w:val="1A1612"/>
                <w:sz w:val="19"/>
                <w:szCs w:val="19"/>
              </w:rPr>
              <w:t xml:space="preserve">County</w:t>
            </w:r>
          </w:p>
        </w:tc>
        <w:tc>
          <w:tcPr>
            <w:tcW w:type="dxa" w:w="6160"/>
            <w:tcBorders>
              <w:top w:val="single" w:color="D8D0B5" w:sz="4"/>
              <w:left w:val="single" w:color="D8D0B5" w:sz="4"/>
              <w:bottom w:val="single" w:color="D8D0B5" w:sz="4"/>
              <w:right w:val="single" w:color="D8D0B5" w:sz="4"/>
            </w:tcBorders>
            <w:tcMar>
              <w:top w:type="dxa" w:w="100"/>
              <w:left w:type="dxa" w:w="160"/>
              <w:bottom w:type="dxa" w:w="100"/>
              <w:right w:type="dxa" w:w="160"/>
            </w:tcMar>
          </w:tcPr>
          <w:p>
            <w:r>
              <w:rPr>
                <w:rFonts w:ascii="Calibri" w:cs="Calibri" w:eastAsia="Calibri" w:hAnsi="Calibri"/>
                <w:color w:val="2A2418"/>
                <w:sz w:val="20"/>
                <w:szCs w:val="20"/>
              </w:rPr>
              <w:t xml:space="preserve">Elmore County</w:t>
            </w:r>
          </w:p>
        </w:tc>
      </w:tr>
      <w:tr>
        <w:tc>
          <w:tcPr>
            <w:tcW w:type="dxa" w:w="3200"/>
            <w:tcBorders>
              <w:top w:val="single" w:color="D8D0B5" w:sz="4"/>
              <w:left w:val="single" w:color="D8D0B5" w:sz="4"/>
              <w:bottom w:val="single" w:color="D8D0B5" w:sz="4"/>
              <w:right w:val="single" w:color="D8D0B5" w:sz="4"/>
            </w:tcBorders>
            <w:shd w:fill="F5EFD9" w:val="clear"/>
            <w:tcMar>
              <w:top w:type="dxa" w:w="100"/>
              <w:left w:type="dxa" w:w="180"/>
              <w:bottom w:type="dxa" w:w="100"/>
              <w:right w:type="dxa" w:w="140"/>
            </w:tcMar>
          </w:tcPr>
          <w:p>
            <w:r>
              <w:rPr>
                <w:rFonts w:ascii="Calibri" w:cs="Calibri" w:eastAsia="Calibri" w:hAnsi="Calibri"/>
                <w:b/>
                <w:bCs/>
                <w:color w:val="1A1612"/>
                <w:sz w:val="19"/>
                <w:szCs w:val="19"/>
              </w:rPr>
              <w:t xml:space="preserve">Mining District</w:t>
            </w:r>
          </w:p>
        </w:tc>
        <w:tc>
          <w:tcPr>
            <w:tcW w:type="dxa" w:w="6160"/>
            <w:tcBorders>
              <w:top w:val="single" w:color="D8D0B5" w:sz="4"/>
              <w:left w:val="single" w:color="D8D0B5" w:sz="4"/>
              <w:bottom w:val="single" w:color="D8D0B5" w:sz="4"/>
              <w:right w:val="single" w:color="D8D0B5" w:sz="4"/>
            </w:tcBorders>
            <w:tcMar>
              <w:top w:type="dxa" w:w="100"/>
              <w:left w:type="dxa" w:w="160"/>
              <w:bottom w:type="dxa" w:w="100"/>
              <w:right w:type="dxa" w:w="160"/>
            </w:tcMar>
          </w:tcPr>
          <w:p>
            <w:r>
              <w:rPr>
                <w:rFonts w:ascii="Calibri" w:cs="Calibri" w:eastAsia="Calibri" w:hAnsi="Calibri"/>
                <w:color w:val="2A2418"/>
                <w:sz w:val="20"/>
                <w:szCs w:val="20"/>
              </w:rPr>
              <w:t xml:space="preserve">Pine Grove Mining District</w:t>
            </w:r>
          </w:p>
        </w:tc>
      </w:tr>
      <w:tr>
        <w:tc>
          <w:tcPr>
            <w:tcW w:type="dxa" w:w="3200"/>
            <w:tcBorders>
              <w:top w:val="single" w:color="D8D0B5" w:sz="4"/>
              <w:left w:val="single" w:color="D8D0B5" w:sz="4"/>
              <w:bottom w:val="single" w:color="D8D0B5" w:sz="4"/>
              <w:right w:val="single" w:color="D8D0B5" w:sz="4"/>
            </w:tcBorders>
            <w:shd w:fill="F5EFD9" w:val="clear"/>
            <w:tcMar>
              <w:top w:type="dxa" w:w="100"/>
              <w:left w:type="dxa" w:w="180"/>
              <w:bottom w:type="dxa" w:w="100"/>
              <w:right w:type="dxa" w:w="140"/>
            </w:tcMar>
          </w:tcPr>
          <w:p>
            <w:r>
              <w:rPr>
                <w:rFonts w:ascii="Calibri" w:cs="Calibri" w:eastAsia="Calibri" w:hAnsi="Calibri"/>
                <w:b/>
                <w:bCs/>
                <w:color w:val="1A1612"/>
                <w:sz w:val="19"/>
                <w:szCs w:val="19"/>
              </w:rPr>
              <w:t xml:space="preserve">Land Status</w:t>
            </w:r>
          </w:p>
        </w:tc>
        <w:tc>
          <w:tcPr>
            <w:tcW w:type="dxa" w:w="6160"/>
            <w:tcBorders>
              <w:top w:val="single" w:color="D8D0B5" w:sz="4"/>
              <w:left w:val="single" w:color="D8D0B5" w:sz="4"/>
              <w:bottom w:val="single" w:color="D8D0B5" w:sz="4"/>
              <w:right w:val="single" w:color="D8D0B5" w:sz="4"/>
            </w:tcBorders>
            <w:tcMar>
              <w:top w:type="dxa" w:w="100"/>
              <w:left w:type="dxa" w:w="160"/>
              <w:bottom w:type="dxa" w:w="100"/>
              <w:right w:type="dxa" w:w="160"/>
            </w:tcMar>
          </w:tcPr>
          <w:p>
            <w:r>
              <w:rPr>
                <w:rFonts w:ascii="Calibri" w:cs="Calibri" w:eastAsia="Calibri" w:hAnsi="Calibri"/>
                <w:color w:val="2A2418"/>
                <w:sz w:val="20"/>
                <w:szCs w:val="20"/>
              </w:rPr>
              <w:t xml:space="preserve">Federal land — Bureau of Land Management (BLM)</w:t>
            </w:r>
          </w:p>
        </w:tc>
      </w:tr>
      <w:tr>
        <w:tc>
          <w:tcPr>
            <w:tcW w:type="dxa" w:w="3200"/>
            <w:tcBorders>
              <w:top w:val="single" w:color="D8D0B5" w:sz="4"/>
              <w:left w:val="single" w:color="D8D0B5" w:sz="4"/>
              <w:bottom w:val="single" w:color="D8D0B5" w:sz="4"/>
              <w:right w:val="single" w:color="D8D0B5" w:sz="4"/>
            </w:tcBorders>
            <w:shd w:fill="F5EFD9" w:val="clear"/>
            <w:tcMar>
              <w:top w:type="dxa" w:w="100"/>
              <w:left w:type="dxa" w:w="180"/>
              <w:bottom w:type="dxa" w:w="100"/>
              <w:right w:type="dxa" w:w="140"/>
            </w:tcMar>
          </w:tcPr>
          <w:p>
            <w:r>
              <w:rPr>
                <w:rFonts w:ascii="Calibri" w:cs="Calibri" w:eastAsia="Calibri" w:hAnsi="Calibri"/>
                <w:b/>
                <w:bCs/>
                <w:color w:val="1A1612"/>
                <w:sz w:val="19"/>
                <w:szCs w:val="19"/>
              </w:rPr>
              <w:t xml:space="preserve">Claim Type</w:t>
            </w:r>
          </w:p>
        </w:tc>
        <w:tc>
          <w:tcPr>
            <w:tcW w:type="dxa" w:w="6160"/>
            <w:tcBorders>
              <w:top w:val="single" w:color="D8D0B5" w:sz="4"/>
              <w:left w:val="single" w:color="D8D0B5" w:sz="4"/>
              <w:bottom w:val="single" w:color="D8D0B5" w:sz="4"/>
              <w:right w:val="single" w:color="D8D0B5" w:sz="4"/>
            </w:tcBorders>
            <w:tcMar>
              <w:top w:type="dxa" w:w="100"/>
              <w:left w:type="dxa" w:w="160"/>
              <w:bottom w:type="dxa" w:w="100"/>
              <w:right w:type="dxa" w:w="160"/>
            </w:tcMar>
          </w:tcPr>
          <w:p>
            <w:r>
              <w:rPr>
                <w:rFonts w:ascii="Calibri" w:cs="Calibri" w:eastAsia="Calibri" w:hAnsi="Calibri"/>
                <w:color w:val="2A2418"/>
                <w:sz w:val="20"/>
                <w:szCs w:val="20"/>
              </w:rPr>
              <w:t xml:space="preserve">Unpatented lode mining claims</w:t>
            </w:r>
          </w:p>
        </w:tc>
      </w:tr>
      <w:tr>
        <w:tc>
          <w:tcPr>
            <w:tcW w:type="dxa" w:w="3200"/>
            <w:tcBorders>
              <w:top w:val="single" w:color="D8D0B5" w:sz="4"/>
              <w:left w:val="single" w:color="D8D0B5" w:sz="4"/>
              <w:bottom w:val="single" w:color="D8D0B5" w:sz="4"/>
              <w:right w:val="single" w:color="D8D0B5" w:sz="4"/>
            </w:tcBorders>
            <w:shd w:fill="F5EFD9" w:val="clear"/>
            <w:tcMar>
              <w:top w:type="dxa" w:w="100"/>
              <w:left w:type="dxa" w:w="180"/>
              <w:bottom w:type="dxa" w:w="100"/>
              <w:right w:type="dxa" w:w="140"/>
            </w:tcMar>
          </w:tcPr>
          <w:p>
            <w:r>
              <w:rPr>
                <w:rFonts w:ascii="Calibri" w:cs="Calibri" w:eastAsia="Calibri" w:hAnsi="Calibri"/>
                <w:b/>
                <w:bCs/>
                <w:color w:val="1A1612"/>
                <w:sz w:val="19"/>
                <w:szCs w:val="19"/>
              </w:rPr>
              <w:t xml:space="preserve">Number of Claim Groups</w:t>
            </w:r>
          </w:p>
        </w:tc>
        <w:tc>
          <w:tcPr>
            <w:tcW w:type="dxa" w:w="6160"/>
            <w:tcBorders>
              <w:top w:val="single" w:color="D8D0B5" w:sz="4"/>
              <w:left w:val="single" w:color="D8D0B5" w:sz="4"/>
              <w:bottom w:val="single" w:color="D8D0B5" w:sz="4"/>
              <w:right w:val="single" w:color="D8D0B5" w:sz="4"/>
            </w:tcBorders>
            <w:tcMar>
              <w:top w:type="dxa" w:w="100"/>
              <w:left w:type="dxa" w:w="160"/>
              <w:bottom w:type="dxa" w:w="100"/>
              <w:right w:type="dxa" w:w="160"/>
            </w:tcMar>
          </w:tcPr>
          <w:p>
            <w:r>
              <w:rPr>
                <w:rFonts w:ascii="Calibri" w:cs="Calibri" w:eastAsia="Calibri" w:hAnsi="Calibri"/>
                <w:color w:val="2A2418"/>
                <w:sz w:val="20"/>
                <w:szCs w:val="20"/>
              </w:rPr>
              <w:t xml:space="preserve">4 (Jingo Group, Hornett, Velvet, Good Life)</w:t>
            </w:r>
          </w:p>
        </w:tc>
      </w:tr>
      <w:tr>
        <w:tc>
          <w:tcPr>
            <w:tcW w:type="dxa" w:w="3200"/>
            <w:tcBorders>
              <w:top w:val="single" w:color="D8D0B5" w:sz="4"/>
              <w:left w:val="single" w:color="D8D0B5" w:sz="4"/>
              <w:bottom w:val="single" w:color="D8D0B5" w:sz="4"/>
              <w:right w:val="single" w:color="D8D0B5" w:sz="4"/>
            </w:tcBorders>
            <w:shd w:fill="F5EFD9" w:val="clear"/>
            <w:tcMar>
              <w:top w:type="dxa" w:w="100"/>
              <w:left w:type="dxa" w:w="180"/>
              <w:bottom w:type="dxa" w:w="100"/>
              <w:right w:type="dxa" w:w="140"/>
            </w:tcMar>
          </w:tcPr>
          <w:p>
            <w:r>
              <w:rPr>
                <w:rFonts w:ascii="Calibri" w:cs="Calibri" w:eastAsia="Calibri" w:hAnsi="Calibri"/>
                <w:b/>
                <w:bCs/>
                <w:color w:val="1A1612"/>
                <w:sz w:val="19"/>
                <w:szCs w:val="19"/>
              </w:rPr>
              <w:t xml:space="preserve">Total Area</w:t>
            </w:r>
          </w:p>
        </w:tc>
        <w:tc>
          <w:tcPr>
            <w:tcW w:type="dxa" w:w="6160"/>
            <w:tcBorders>
              <w:top w:val="single" w:color="D8D0B5" w:sz="4"/>
              <w:left w:val="single" w:color="D8D0B5" w:sz="4"/>
              <w:bottom w:val="single" w:color="D8D0B5" w:sz="4"/>
              <w:right w:val="single" w:color="D8D0B5" w:sz="4"/>
            </w:tcBorders>
            <w:tcMar>
              <w:top w:type="dxa" w:w="100"/>
              <w:left w:type="dxa" w:w="160"/>
              <w:bottom w:type="dxa" w:w="100"/>
              <w:right w:type="dxa" w:w="160"/>
            </w:tcMar>
          </w:tcPr>
          <w:p>
            <w:r>
              <w:rPr>
                <w:rFonts w:ascii="Calibri" w:cs="Calibri" w:eastAsia="Calibri" w:hAnsi="Calibri"/>
                <w:color w:val="2A2418"/>
                <w:sz w:val="20"/>
                <w:szCs w:val="20"/>
              </w:rPr>
              <w:t xml:space="preserve">~261 acres (~106 hectares)</w:t>
            </w:r>
          </w:p>
        </w:tc>
      </w:tr>
      <w:tr>
        <w:tc>
          <w:tcPr>
            <w:tcW w:type="dxa" w:w="3200"/>
            <w:tcBorders>
              <w:top w:val="single" w:color="D8D0B5" w:sz="4"/>
              <w:left w:val="single" w:color="D8D0B5" w:sz="4"/>
              <w:bottom w:val="single" w:color="D8D0B5" w:sz="4"/>
              <w:right w:val="single" w:color="D8D0B5" w:sz="4"/>
            </w:tcBorders>
            <w:shd w:fill="F5EFD9" w:val="clear"/>
            <w:tcMar>
              <w:top w:type="dxa" w:w="100"/>
              <w:left w:type="dxa" w:w="180"/>
              <w:bottom w:type="dxa" w:w="100"/>
              <w:right w:type="dxa" w:w="140"/>
            </w:tcMar>
          </w:tcPr>
          <w:p>
            <w:r>
              <w:rPr>
                <w:rFonts w:ascii="Calibri" w:cs="Calibri" w:eastAsia="Calibri" w:hAnsi="Calibri"/>
                <w:b/>
                <w:bCs/>
                <w:color w:val="1A1612"/>
                <w:sz w:val="19"/>
                <w:szCs w:val="19"/>
              </w:rPr>
              <w:t xml:space="preserve">Coordinate System</w:t>
            </w:r>
          </w:p>
        </w:tc>
        <w:tc>
          <w:tcPr>
            <w:tcW w:type="dxa" w:w="6160"/>
            <w:tcBorders>
              <w:top w:val="single" w:color="D8D0B5" w:sz="4"/>
              <w:left w:val="single" w:color="D8D0B5" w:sz="4"/>
              <w:bottom w:val="single" w:color="D8D0B5" w:sz="4"/>
              <w:right w:val="single" w:color="D8D0B5" w:sz="4"/>
            </w:tcBorders>
            <w:tcMar>
              <w:top w:type="dxa" w:w="100"/>
              <w:left w:type="dxa" w:w="160"/>
              <w:bottom w:type="dxa" w:w="100"/>
              <w:right w:type="dxa" w:w="160"/>
            </w:tcMar>
          </w:tcPr>
          <w:p>
            <w:r>
              <w:rPr>
                <w:rFonts w:ascii="Calibri" w:cs="Calibri" w:eastAsia="Calibri" w:hAnsi="Calibri"/>
                <w:color w:val="2A2418"/>
                <w:sz w:val="20"/>
                <w:szCs w:val="20"/>
              </w:rPr>
              <w:t xml:space="preserve">NAD 1983 Idaho Transverse Mercator</w:t>
            </w:r>
          </w:p>
        </w:tc>
      </w:tr>
      <w:tr>
        <w:tc>
          <w:tcPr>
            <w:tcW w:type="dxa" w:w="3200"/>
            <w:tcBorders>
              <w:top w:val="single" w:color="D8D0B5" w:sz="4"/>
              <w:left w:val="single" w:color="D8D0B5" w:sz="4"/>
              <w:bottom w:val="single" w:color="D8D0B5" w:sz="4"/>
              <w:right w:val="single" w:color="D8D0B5" w:sz="4"/>
            </w:tcBorders>
            <w:shd w:fill="F5EFD9" w:val="clear"/>
            <w:tcMar>
              <w:top w:type="dxa" w:w="100"/>
              <w:left w:type="dxa" w:w="180"/>
              <w:bottom w:type="dxa" w:w="100"/>
              <w:right w:type="dxa" w:w="140"/>
            </w:tcMar>
          </w:tcPr>
          <w:p>
            <w:r>
              <w:rPr>
                <w:rFonts w:ascii="Calibri" w:cs="Calibri" w:eastAsia="Calibri" w:hAnsi="Calibri"/>
                <w:b/>
                <w:bCs/>
                <w:color w:val="1A1612"/>
                <w:sz w:val="19"/>
                <w:szCs w:val="19"/>
              </w:rPr>
              <w:t xml:space="preserve">Project Centroid (geographic)</w:t>
            </w:r>
          </w:p>
        </w:tc>
        <w:tc>
          <w:tcPr>
            <w:tcW w:type="dxa" w:w="6160"/>
            <w:tcBorders>
              <w:top w:val="single" w:color="D8D0B5" w:sz="4"/>
              <w:left w:val="single" w:color="D8D0B5" w:sz="4"/>
              <w:bottom w:val="single" w:color="D8D0B5" w:sz="4"/>
              <w:right w:val="single" w:color="D8D0B5" w:sz="4"/>
            </w:tcBorders>
            <w:tcMar>
              <w:top w:type="dxa" w:w="100"/>
              <w:left w:type="dxa" w:w="160"/>
              <w:bottom w:type="dxa" w:w="100"/>
              <w:right w:type="dxa" w:w="160"/>
            </w:tcMar>
          </w:tcPr>
          <w:p>
            <w:r>
              <w:rPr>
                <w:rFonts w:ascii="Calibri" w:cs="Calibri" w:eastAsia="Calibri" w:hAnsi="Calibri"/>
                <w:color w:val="2A2418"/>
                <w:sz w:val="20"/>
                <w:szCs w:val="20"/>
              </w:rPr>
              <w:t xml:space="preserve">43.4060°N, 115.1966°W (WGS 84)</w:t>
            </w:r>
          </w:p>
        </w:tc>
      </w:tr>
      <w:tr>
        <w:tc>
          <w:tcPr>
            <w:tcW w:type="dxa" w:w="3200"/>
            <w:tcBorders>
              <w:top w:val="single" w:color="D8D0B5" w:sz="4"/>
              <w:left w:val="single" w:color="D8D0B5" w:sz="4"/>
              <w:bottom w:val="single" w:color="D8D0B5" w:sz="4"/>
              <w:right w:val="single" w:color="D8D0B5" w:sz="4"/>
            </w:tcBorders>
            <w:shd w:fill="F5EFD9" w:val="clear"/>
            <w:tcMar>
              <w:top w:type="dxa" w:w="100"/>
              <w:left w:type="dxa" w:w="180"/>
              <w:bottom w:type="dxa" w:w="100"/>
              <w:right w:type="dxa" w:w="140"/>
            </w:tcMar>
          </w:tcPr>
          <w:p>
            <w:r>
              <w:rPr>
                <w:rFonts w:ascii="Calibri" w:cs="Calibri" w:eastAsia="Calibri" w:hAnsi="Calibri"/>
                <w:b/>
                <w:bCs/>
                <w:color w:val="1A1612"/>
                <w:sz w:val="19"/>
                <w:szCs w:val="19"/>
              </w:rPr>
              <w:t xml:space="preserve">Approximate Centroid (UTM Idaho TM)</w:t>
            </w:r>
          </w:p>
        </w:tc>
        <w:tc>
          <w:tcPr>
            <w:tcW w:type="dxa" w:w="6160"/>
            <w:tcBorders>
              <w:top w:val="single" w:color="D8D0B5" w:sz="4"/>
              <w:left w:val="single" w:color="D8D0B5" w:sz="4"/>
              <w:bottom w:val="single" w:color="D8D0B5" w:sz="4"/>
              <w:right w:val="single" w:color="D8D0B5" w:sz="4"/>
            </w:tcBorders>
            <w:tcMar>
              <w:top w:type="dxa" w:w="100"/>
              <w:left w:type="dxa" w:w="160"/>
              <w:bottom w:type="dxa" w:w="100"/>
              <w:right w:type="dxa" w:w="160"/>
            </w:tcMar>
          </w:tcPr>
          <w:p>
            <w:r>
              <w:rPr>
                <w:rFonts w:ascii="Calibri" w:cs="Calibri" w:eastAsia="Calibri" w:hAnsi="Calibri"/>
                <w:color w:val="2A2418"/>
                <w:sz w:val="20"/>
                <w:szCs w:val="20"/>
              </w:rPr>
              <w:t xml:space="preserve">~645,900 mE, 4,807,000 mN</w:t>
            </w:r>
          </w:p>
        </w:tc>
      </w:tr>
    </w:tbl>
    <w:p>
      <w:pPr>
        <w:pStyle w:val="Heading1"/>
        <w:spacing w:after="180" w:before="360"/>
      </w:pPr>
      <w:r>
        <w:rPr>
          <w:rFonts w:ascii="Georgia" w:cs="Georgia" w:eastAsia="Georgia" w:hAnsi="Georgia"/>
          <w:b/>
          <w:bCs/>
          <w:color w:val="1A1612"/>
          <w:sz w:val="32"/>
          <w:szCs w:val="32"/>
        </w:rPr>
        <w:t xml:space="preserve">Primary Claim Block Boundary</w:t>
      </w:r>
    </w:p>
    <w:p>
      <w:pPr>
        <w:spacing w:after="140" w:line="320"/>
        <w:jc w:val="both"/>
      </w:pPr>
      <w:r>
        <w:rPr>
          <w:rFonts w:ascii="Calibri" w:cs="Calibri" w:eastAsia="Calibri" w:hAnsi="Calibri"/>
          <w:color w:val="2A2418"/>
          <w:sz w:val="22"/>
          <w:szCs w:val="22"/>
        </w:rPr>
        <w:t xml:space="preserve">The Jingo claim boundary is provided as a separate KMZ file (02_Jingo_Claim_Boundary.kmz) in this section of the data room. The primary contiguous block boundary, as verified from the supplied KMZ, comprises a single polygon with the following corner coordinates (WGS 84):</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2400"/>
        <w:gridCol w:w="2400"/>
        <w:gridCol w:w="3160"/>
      </w:tblGrid>
      <w:tr>
        <w:trPr>
          <w:tblHeader/>
        </w:trPr>
        <w:tc>
          <w:tcPr>
            <w:tcW w:type="dxa" w:w="1400"/>
            <w:tcBorders>
              <w:top w:val="single" w:color="D8D0B5" w:sz="4"/>
              <w:left w:val="single" w:color="D8D0B5" w:sz="4"/>
              <w:bottom w:val="single" w:color="D8D0B5" w:sz="4"/>
              <w:right w:val="single" w:color="D8D0B5" w:sz="4"/>
            </w:tcBorders>
            <w:shd w:fill="1A1612" w:val="clear"/>
            <w:tcMar>
              <w:top w:type="dxa" w:w="110"/>
              <w:left w:type="dxa" w:w="140"/>
              <w:bottom w:type="dxa" w:w="110"/>
              <w:right w:type="dxa" w:w="140"/>
            </w:tcMar>
          </w:tcPr>
          <w:p>
            <w:pPr>
              <w:jc w:val="center"/>
            </w:pPr>
            <w:r>
              <w:rPr>
                <w:rFonts w:ascii="Calibri" w:cs="Calibri" w:eastAsia="Calibri" w:hAnsi="Calibri"/>
                <w:b/>
                <w:bCs/>
                <w:color w:val="C5A028"/>
                <w:spacing w:val="30"/>
                <w:sz w:val="18"/>
                <w:szCs w:val="18"/>
              </w:rPr>
              <w:t xml:space="preserve">Corner</w:t>
            </w:r>
          </w:p>
        </w:tc>
        <w:tc>
          <w:tcPr>
            <w:tcW w:type="dxa" w:w="2400"/>
            <w:tcBorders>
              <w:top w:val="single" w:color="D8D0B5" w:sz="4"/>
              <w:left w:val="single" w:color="D8D0B5" w:sz="4"/>
              <w:bottom w:val="single" w:color="D8D0B5" w:sz="4"/>
              <w:right w:val="single" w:color="D8D0B5" w:sz="4"/>
            </w:tcBorders>
            <w:shd w:fill="1A1612" w:val="clear"/>
            <w:tcMar>
              <w:top w:type="dxa" w:w="110"/>
              <w:left w:type="dxa" w:w="140"/>
              <w:bottom w:type="dxa" w:w="110"/>
              <w:right w:type="dxa" w:w="140"/>
            </w:tcMar>
          </w:tcPr>
          <w:p>
            <w:pPr>
              <w:jc w:val="center"/>
            </w:pPr>
            <w:r>
              <w:rPr>
                <w:rFonts w:ascii="Calibri" w:cs="Calibri" w:eastAsia="Calibri" w:hAnsi="Calibri"/>
                <w:b/>
                <w:bCs/>
                <w:color w:val="C5A028"/>
                <w:spacing w:val="30"/>
                <w:sz w:val="18"/>
                <w:szCs w:val="18"/>
              </w:rPr>
              <w:t xml:space="preserve">Longitude (W)</w:t>
            </w:r>
          </w:p>
        </w:tc>
        <w:tc>
          <w:tcPr>
            <w:tcW w:type="dxa" w:w="2400"/>
            <w:tcBorders>
              <w:top w:val="single" w:color="D8D0B5" w:sz="4"/>
              <w:left w:val="single" w:color="D8D0B5" w:sz="4"/>
              <w:bottom w:val="single" w:color="D8D0B5" w:sz="4"/>
              <w:right w:val="single" w:color="D8D0B5" w:sz="4"/>
            </w:tcBorders>
            <w:shd w:fill="1A1612" w:val="clear"/>
            <w:tcMar>
              <w:top w:type="dxa" w:w="110"/>
              <w:left w:type="dxa" w:w="140"/>
              <w:bottom w:type="dxa" w:w="110"/>
              <w:right w:type="dxa" w:w="140"/>
            </w:tcMar>
          </w:tcPr>
          <w:p>
            <w:pPr>
              <w:jc w:val="center"/>
            </w:pPr>
            <w:r>
              <w:rPr>
                <w:rFonts w:ascii="Calibri" w:cs="Calibri" w:eastAsia="Calibri" w:hAnsi="Calibri"/>
                <w:b/>
                <w:bCs/>
                <w:color w:val="C5A028"/>
                <w:spacing w:val="30"/>
                <w:sz w:val="18"/>
                <w:szCs w:val="18"/>
              </w:rPr>
              <w:t xml:space="preserve">Latitude (N)</w:t>
            </w:r>
          </w:p>
        </w:tc>
        <w:tc>
          <w:tcPr>
            <w:tcW w:type="dxa" w:w="3160"/>
            <w:tcBorders>
              <w:top w:val="single" w:color="D8D0B5" w:sz="4"/>
              <w:left w:val="single" w:color="D8D0B5" w:sz="4"/>
              <w:bottom w:val="single" w:color="D8D0B5" w:sz="4"/>
              <w:right w:val="single" w:color="D8D0B5" w:sz="4"/>
            </w:tcBorders>
            <w:shd w:fill="1A1612" w:val="clear"/>
            <w:tcMar>
              <w:top w:type="dxa" w:w="110"/>
              <w:left w:type="dxa" w:w="140"/>
              <w:bottom w:type="dxa" w:w="110"/>
              <w:right w:type="dxa" w:w="140"/>
            </w:tcMar>
          </w:tcPr>
          <w:p>
            <w:pPr>
              <w:jc w:val="center"/>
            </w:pPr>
            <w:r>
              <w:rPr>
                <w:rFonts w:ascii="Calibri" w:cs="Calibri" w:eastAsia="Calibri" w:hAnsi="Calibri"/>
                <w:b/>
                <w:bCs/>
                <w:color w:val="C5A028"/>
                <w:spacing w:val="30"/>
                <w:sz w:val="18"/>
                <w:szCs w:val="18"/>
              </w:rPr>
              <w:t xml:space="preserve">Notes</w:t>
            </w:r>
          </w:p>
        </w:tc>
      </w:tr>
      <w:tr>
        <w:tc>
          <w:tcPr>
            <w:tcW w:type="dxa" w:w="1400"/>
            <w:tcBorders>
              <w:top w:val="single" w:color="D8D0B5" w:sz="4"/>
              <w:left w:val="single" w:color="D8D0B5" w:sz="4"/>
              <w:bottom w:val="single" w:color="D8D0B5" w:sz="4"/>
              <w:right w:val="single" w:color="D8D0B5" w:sz="4"/>
            </w:tcBorders>
            <w:tcMar>
              <w:top w:type="dxa" w:w="100"/>
              <w:left w:type="dxa" w:w="140"/>
              <w:bottom w:type="dxa" w:w="100"/>
              <w:right w:type="dxa" w:w="140"/>
            </w:tcMar>
          </w:tcPr>
          <w:p>
            <w:pPr>
              <w:jc w:val="center"/>
            </w:pPr>
            <w:r>
              <w:rPr>
                <w:rFonts w:ascii="Calibri" w:cs="Calibri" w:eastAsia="Calibri" w:hAnsi="Calibri"/>
                <w:b/>
                <w:bCs/>
                <w:color w:val="8B6C12"/>
                <w:sz w:val="20"/>
                <w:szCs w:val="20"/>
              </w:rPr>
              <w:t xml:space="preserve">NW</w:t>
            </w:r>
          </w:p>
        </w:tc>
        <w:tc>
          <w:tcPr>
            <w:tcW w:type="dxa" w:w="2400"/>
            <w:tcBorders>
              <w:top w:val="single" w:color="D8D0B5" w:sz="4"/>
              <w:left w:val="single" w:color="D8D0B5" w:sz="4"/>
              <w:bottom w:val="single" w:color="D8D0B5" w:sz="4"/>
              <w:right w:val="single" w:color="D8D0B5" w:sz="4"/>
            </w:tcBorders>
            <w:tcMar>
              <w:top w:type="dxa" w:w="100"/>
              <w:left w:type="dxa" w:w="140"/>
              <w:bottom w:type="dxa" w:w="100"/>
              <w:right w:type="dxa" w:w="140"/>
            </w:tcMar>
          </w:tcPr>
          <w:p>
            <w:pPr>
              <w:jc w:val="center"/>
            </w:pPr>
            <w:r>
              <w:rPr>
                <w:rFonts w:ascii="Calibri" w:cs="Calibri" w:eastAsia="Calibri" w:hAnsi="Calibri"/>
                <w:color w:val="2A2418"/>
                <w:sz w:val="20"/>
                <w:szCs w:val="20"/>
              </w:rPr>
              <w:t xml:space="preserve">115.202414°</w:t>
            </w:r>
          </w:p>
        </w:tc>
        <w:tc>
          <w:tcPr>
            <w:tcW w:type="dxa" w:w="2400"/>
            <w:tcBorders>
              <w:top w:val="single" w:color="D8D0B5" w:sz="4"/>
              <w:left w:val="single" w:color="D8D0B5" w:sz="4"/>
              <w:bottom w:val="single" w:color="D8D0B5" w:sz="4"/>
              <w:right w:val="single" w:color="D8D0B5" w:sz="4"/>
            </w:tcBorders>
            <w:tcMar>
              <w:top w:type="dxa" w:w="100"/>
              <w:left w:type="dxa" w:w="140"/>
              <w:bottom w:type="dxa" w:w="100"/>
              <w:right w:type="dxa" w:w="140"/>
            </w:tcMar>
          </w:tcPr>
          <w:p>
            <w:pPr>
              <w:jc w:val="center"/>
            </w:pPr>
            <w:r>
              <w:rPr>
                <w:rFonts w:ascii="Calibri" w:cs="Calibri" w:eastAsia="Calibri" w:hAnsi="Calibri"/>
                <w:color w:val="2A2418"/>
                <w:sz w:val="20"/>
                <w:szCs w:val="20"/>
              </w:rPr>
              <w:t xml:space="preserve">43.407672°</w:t>
            </w:r>
          </w:p>
        </w:tc>
        <w:tc>
          <w:tcPr>
            <w:tcW w:type="dxa" w:w="3160"/>
            <w:tcBorders>
              <w:top w:val="single" w:color="D8D0B5" w:sz="4"/>
              <w:left w:val="single" w:color="D8D0B5" w:sz="4"/>
              <w:bottom w:val="single" w:color="D8D0B5" w:sz="4"/>
              <w:right w:val="single" w:color="D8D0B5" w:sz="4"/>
            </w:tcBorders>
            <w:tcMar>
              <w:top w:type="dxa" w:w="100"/>
              <w:left w:type="dxa" w:w="140"/>
              <w:bottom w:type="dxa" w:w="100"/>
              <w:right w:type="dxa" w:w="140"/>
            </w:tcMar>
          </w:tcPr>
          <w:p>
            <w:pPr>
              <w:jc w:val="left"/>
            </w:pPr>
            <w:r>
              <w:rPr>
                <w:rFonts w:ascii="Calibri" w:cs="Calibri" w:eastAsia="Calibri" w:hAnsi="Calibri"/>
                <w:color w:val="7A7460"/>
                <w:sz w:val="19"/>
                <w:szCs w:val="19"/>
              </w:rPr>
              <w:t xml:space="preserve">Northwest corner</w:t>
            </w:r>
          </w:p>
        </w:tc>
      </w:tr>
      <w:tr>
        <w:tc>
          <w:tcPr>
            <w:tcW w:type="dxa" w:w="1400"/>
            <w:tcBorders>
              <w:top w:val="single" w:color="D8D0B5" w:sz="4"/>
              <w:left w:val="single" w:color="D8D0B5" w:sz="4"/>
              <w:bottom w:val="single" w:color="D8D0B5" w:sz="4"/>
              <w:right w:val="single" w:color="D8D0B5" w:sz="4"/>
            </w:tcBorders>
            <w:shd w:fill="F5EFD9" w:val="clear"/>
            <w:tcMar>
              <w:top w:type="dxa" w:w="100"/>
              <w:left w:type="dxa" w:w="140"/>
              <w:bottom w:type="dxa" w:w="100"/>
              <w:right w:type="dxa" w:w="140"/>
            </w:tcMar>
          </w:tcPr>
          <w:p>
            <w:pPr>
              <w:jc w:val="center"/>
            </w:pPr>
            <w:r>
              <w:rPr>
                <w:rFonts w:ascii="Calibri" w:cs="Calibri" w:eastAsia="Calibri" w:hAnsi="Calibri"/>
                <w:b/>
                <w:bCs/>
                <w:color w:val="8B6C12"/>
                <w:sz w:val="20"/>
                <w:szCs w:val="20"/>
              </w:rPr>
              <w:t xml:space="preserve">SW</w:t>
            </w:r>
          </w:p>
        </w:tc>
        <w:tc>
          <w:tcPr>
            <w:tcW w:type="dxa" w:w="2400"/>
            <w:tcBorders>
              <w:top w:val="single" w:color="D8D0B5" w:sz="4"/>
              <w:left w:val="single" w:color="D8D0B5" w:sz="4"/>
              <w:bottom w:val="single" w:color="D8D0B5" w:sz="4"/>
              <w:right w:val="single" w:color="D8D0B5" w:sz="4"/>
            </w:tcBorders>
            <w:shd w:fill="F5EFD9" w:val="clear"/>
            <w:tcMar>
              <w:top w:type="dxa" w:w="100"/>
              <w:left w:type="dxa" w:w="140"/>
              <w:bottom w:type="dxa" w:w="100"/>
              <w:right w:type="dxa" w:w="140"/>
            </w:tcMar>
          </w:tcPr>
          <w:p>
            <w:pPr>
              <w:jc w:val="center"/>
            </w:pPr>
            <w:r>
              <w:rPr>
                <w:rFonts w:ascii="Calibri" w:cs="Calibri" w:eastAsia="Calibri" w:hAnsi="Calibri"/>
                <w:color w:val="2A2418"/>
                <w:sz w:val="20"/>
                <w:szCs w:val="20"/>
              </w:rPr>
              <w:t xml:space="preserve">115.202160°</w:t>
            </w:r>
          </w:p>
        </w:tc>
        <w:tc>
          <w:tcPr>
            <w:tcW w:type="dxa" w:w="2400"/>
            <w:tcBorders>
              <w:top w:val="single" w:color="D8D0B5" w:sz="4"/>
              <w:left w:val="single" w:color="D8D0B5" w:sz="4"/>
              <w:bottom w:val="single" w:color="D8D0B5" w:sz="4"/>
              <w:right w:val="single" w:color="D8D0B5" w:sz="4"/>
            </w:tcBorders>
            <w:shd w:fill="F5EFD9" w:val="clear"/>
            <w:tcMar>
              <w:top w:type="dxa" w:w="100"/>
              <w:left w:type="dxa" w:w="140"/>
              <w:bottom w:type="dxa" w:w="100"/>
              <w:right w:type="dxa" w:w="140"/>
            </w:tcMar>
          </w:tcPr>
          <w:p>
            <w:pPr>
              <w:jc w:val="center"/>
            </w:pPr>
            <w:r>
              <w:rPr>
                <w:rFonts w:ascii="Calibri" w:cs="Calibri" w:eastAsia="Calibri" w:hAnsi="Calibri"/>
                <w:color w:val="2A2418"/>
                <w:sz w:val="20"/>
                <w:szCs w:val="20"/>
              </w:rPr>
              <w:t xml:space="preserve">43.399280°</w:t>
            </w:r>
          </w:p>
        </w:tc>
        <w:tc>
          <w:tcPr>
            <w:tcW w:type="dxa" w:w="3160"/>
            <w:tcBorders>
              <w:top w:val="single" w:color="D8D0B5" w:sz="4"/>
              <w:left w:val="single" w:color="D8D0B5" w:sz="4"/>
              <w:bottom w:val="single" w:color="D8D0B5" w:sz="4"/>
              <w:right w:val="single" w:color="D8D0B5" w:sz="4"/>
            </w:tcBorders>
            <w:shd w:fill="F5EFD9" w:val="clear"/>
            <w:tcMar>
              <w:top w:type="dxa" w:w="100"/>
              <w:left w:type="dxa" w:w="140"/>
              <w:bottom w:type="dxa" w:w="100"/>
              <w:right w:type="dxa" w:w="140"/>
            </w:tcMar>
          </w:tcPr>
          <w:p>
            <w:pPr>
              <w:jc w:val="left"/>
            </w:pPr>
            <w:r>
              <w:rPr>
                <w:rFonts w:ascii="Calibri" w:cs="Calibri" w:eastAsia="Calibri" w:hAnsi="Calibri"/>
                <w:color w:val="7A7460"/>
                <w:sz w:val="19"/>
                <w:szCs w:val="19"/>
              </w:rPr>
              <w:t xml:space="preserve">Southwest corner</w:t>
            </w:r>
          </w:p>
        </w:tc>
      </w:tr>
      <w:tr>
        <w:tc>
          <w:tcPr>
            <w:tcW w:type="dxa" w:w="1400"/>
            <w:tcBorders>
              <w:top w:val="single" w:color="D8D0B5" w:sz="4"/>
              <w:left w:val="single" w:color="D8D0B5" w:sz="4"/>
              <w:bottom w:val="single" w:color="D8D0B5" w:sz="4"/>
              <w:right w:val="single" w:color="D8D0B5" w:sz="4"/>
            </w:tcBorders>
            <w:tcMar>
              <w:top w:type="dxa" w:w="100"/>
              <w:left w:type="dxa" w:w="140"/>
              <w:bottom w:type="dxa" w:w="100"/>
              <w:right w:type="dxa" w:w="140"/>
            </w:tcMar>
          </w:tcPr>
          <w:p>
            <w:pPr>
              <w:jc w:val="center"/>
            </w:pPr>
            <w:r>
              <w:rPr>
                <w:rFonts w:ascii="Calibri" w:cs="Calibri" w:eastAsia="Calibri" w:hAnsi="Calibri"/>
                <w:b/>
                <w:bCs/>
                <w:color w:val="8B6C12"/>
                <w:sz w:val="20"/>
                <w:szCs w:val="20"/>
              </w:rPr>
              <w:t xml:space="preserve">SE</w:t>
            </w:r>
          </w:p>
        </w:tc>
        <w:tc>
          <w:tcPr>
            <w:tcW w:type="dxa" w:w="2400"/>
            <w:tcBorders>
              <w:top w:val="single" w:color="D8D0B5" w:sz="4"/>
              <w:left w:val="single" w:color="D8D0B5" w:sz="4"/>
              <w:bottom w:val="single" w:color="D8D0B5" w:sz="4"/>
              <w:right w:val="single" w:color="D8D0B5" w:sz="4"/>
            </w:tcBorders>
            <w:tcMar>
              <w:top w:type="dxa" w:w="100"/>
              <w:left w:type="dxa" w:w="140"/>
              <w:bottom w:type="dxa" w:w="100"/>
              <w:right w:type="dxa" w:w="140"/>
            </w:tcMar>
          </w:tcPr>
          <w:p>
            <w:pPr>
              <w:jc w:val="center"/>
            </w:pPr>
            <w:r>
              <w:rPr>
                <w:rFonts w:ascii="Calibri" w:cs="Calibri" w:eastAsia="Calibri" w:hAnsi="Calibri"/>
                <w:color w:val="2A2418"/>
                <w:sz w:val="20"/>
                <w:szCs w:val="20"/>
              </w:rPr>
              <w:t xml:space="preserve">115.190780°</w:t>
            </w:r>
          </w:p>
        </w:tc>
        <w:tc>
          <w:tcPr>
            <w:tcW w:type="dxa" w:w="2400"/>
            <w:tcBorders>
              <w:top w:val="single" w:color="D8D0B5" w:sz="4"/>
              <w:left w:val="single" w:color="D8D0B5" w:sz="4"/>
              <w:bottom w:val="single" w:color="D8D0B5" w:sz="4"/>
              <w:right w:val="single" w:color="D8D0B5" w:sz="4"/>
            </w:tcBorders>
            <w:tcMar>
              <w:top w:type="dxa" w:w="100"/>
              <w:left w:type="dxa" w:w="140"/>
              <w:bottom w:type="dxa" w:w="100"/>
              <w:right w:type="dxa" w:w="140"/>
            </w:tcMar>
          </w:tcPr>
          <w:p>
            <w:pPr>
              <w:jc w:val="center"/>
            </w:pPr>
            <w:r>
              <w:rPr>
                <w:rFonts w:ascii="Calibri" w:cs="Calibri" w:eastAsia="Calibri" w:hAnsi="Calibri"/>
                <w:color w:val="2A2418"/>
                <w:sz w:val="20"/>
                <w:szCs w:val="20"/>
              </w:rPr>
              <w:t xml:space="preserve">43.399367°</w:t>
            </w:r>
          </w:p>
        </w:tc>
        <w:tc>
          <w:tcPr>
            <w:tcW w:type="dxa" w:w="3160"/>
            <w:tcBorders>
              <w:top w:val="single" w:color="D8D0B5" w:sz="4"/>
              <w:left w:val="single" w:color="D8D0B5" w:sz="4"/>
              <w:bottom w:val="single" w:color="D8D0B5" w:sz="4"/>
              <w:right w:val="single" w:color="D8D0B5" w:sz="4"/>
            </w:tcBorders>
            <w:tcMar>
              <w:top w:type="dxa" w:w="100"/>
              <w:left w:type="dxa" w:w="140"/>
              <w:bottom w:type="dxa" w:w="100"/>
              <w:right w:type="dxa" w:w="140"/>
            </w:tcMar>
          </w:tcPr>
          <w:p>
            <w:pPr>
              <w:jc w:val="left"/>
            </w:pPr>
            <w:r>
              <w:rPr>
                <w:rFonts w:ascii="Calibri" w:cs="Calibri" w:eastAsia="Calibri" w:hAnsi="Calibri"/>
                <w:color w:val="7A7460"/>
                <w:sz w:val="19"/>
                <w:szCs w:val="19"/>
              </w:rPr>
              <w:t xml:space="preserve">Southeast corner</w:t>
            </w:r>
          </w:p>
        </w:tc>
      </w:tr>
      <w:tr>
        <w:tc>
          <w:tcPr>
            <w:tcW w:type="dxa" w:w="1400"/>
            <w:tcBorders>
              <w:top w:val="single" w:color="D8D0B5" w:sz="4"/>
              <w:left w:val="single" w:color="D8D0B5" w:sz="4"/>
              <w:bottom w:val="single" w:color="D8D0B5" w:sz="4"/>
              <w:right w:val="single" w:color="D8D0B5" w:sz="4"/>
            </w:tcBorders>
            <w:shd w:fill="F5EFD9" w:val="clear"/>
            <w:tcMar>
              <w:top w:type="dxa" w:w="100"/>
              <w:left w:type="dxa" w:w="140"/>
              <w:bottom w:type="dxa" w:w="100"/>
              <w:right w:type="dxa" w:w="140"/>
            </w:tcMar>
          </w:tcPr>
          <w:p>
            <w:pPr>
              <w:jc w:val="center"/>
            </w:pPr>
            <w:r>
              <w:rPr>
                <w:rFonts w:ascii="Calibri" w:cs="Calibri" w:eastAsia="Calibri" w:hAnsi="Calibri"/>
                <w:b/>
                <w:bCs/>
                <w:color w:val="8B6C12"/>
                <w:sz w:val="20"/>
                <w:szCs w:val="20"/>
              </w:rPr>
              <w:t xml:space="preserve">NE</w:t>
            </w:r>
          </w:p>
        </w:tc>
        <w:tc>
          <w:tcPr>
            <w:tcW w:type="dxa" w:w="2400"/>
            <w:tcBorders>
              <w:top w:val="single" w:color="D8D0B5" w:sz="4"/>
              <w:left w:val="single" w:color="D8D0B5" w:sz="4"/>
              <w:bottom w:val="single" w:color="D8D0B5" w:sz="4"/>
              <w:right w:val="single" w:color="D8D0B5" w:sz="4"/>
            </w:tcBorders>
            <w:shd w:fill="F5EFD9" w:val="clear"/>
            <w:tcMar>
              <w:top w:type="dxa" w:w="100"/>
              <w:left w:type="dxa" w:w="140"/>
              <w:bottom w:type="dxa" w:w="100"/>
              <w:right w:type="dxa" w:w="140"/>
            </w:tcMar>
          </w:tcPr>
          <w:p>
            <w:pPr>
              <w:jc w:val="center"/>
            </w:pPr>
            <w:r>
              <w:rPr>
                <w:rFonts w:ascii="Calibri" w:cs="Calibri" w:eastAsia="Calibri" w:hAnsi="Calibri"/>
                <w:color w:val="2A2418"/>
                <w:sz w:val="20"/>
                <w:szCs w:val="20"/>
              </w:rPr>
              <w:t xml:space="preserve">115.191076°</w:t>
            </w:r>
          </w:p>
        </w:tc>
        <w:tc>
          <w:tcPr>
            <w:tcW w:type="dxa" w:w="2400"/>
            <w:tcBorders>
              <w:top w:val="single" w:color="D8D0B5" w:sz="4"/>
              <w:left w:val="single" w:color="D8D0B5" w:sz="4"/>
              <w:bottom w:val="single" w:color="D8D0B5" w:sz="4"/>
              <w:right w:val="single" w:color="D8D0B5" w:sz="4"/>
            </w:tcBorders>
            <w:shd w:fill="F5EFD9" w:val="clear"/>
            <w:tcMar>
              <w:top w:type="dxa" w:w="100"/>
              <w:left w:type="dxa" w:w="140"/>
              <w:bottom w:type="dxa" w:w="100"/>
              <w:right w:type="dxa" w:w="140"/>
            </w:tcMar>
          </w:tcPr>
          <w:p>
            <w:pPr>
              <w:jc w:val="center"/>
            </w:pPr>
            <w:r>
              <w:rPr>
                <w:rFonts w:ascii="Calibri" w:cs="Calibri" w:eastAsia="Calibri" w:hAnsi="Calibri"/>
                <w:color w:val="2A2418"/>
                <w:sz w:val="20"/>
                <w:szCs w:val="20"/>
              </w:rPr>
              <w:t xml:space="preserve">43.407791°</w:t>
            </w:r>
          </w:p>
        </w:tc>
        <w:tc>
          <w:tcPr>
            <w:tcW w:type="dxa" w:w="3160"/>
            <w:tcBorders>
              <w:top w:val="single" w:color="D8D0B5" w:sz="4"/>
              <w:left w:val="single" w:color="D8D0B5" w:sz="4"/>
              <w:bottom w:val="single" w:color="D8D0B5" w:sz="4"/>
              <w:right w:val="single" w:color="D8D0B5" w:sz="4"/>
            </w:tcBorders>
            <w:shd w:fill="F5EFD9" w:val="clear"/>
            <w:tcMar>
              <w:top w:type="dxa" w:w="100"/>
              <w:left w:type="dxa" w:w="140"/>
              <w:bottom w:type="dxa" w:w="100"/>
              <w:right w:type="dxa" w:w="140"/>
            </w:tcMar>
          </w:tcPr>
          <w:p>
            <w:pPr>
              <w:jc w:val="left"/>
            </w:pPr>
            <w:r>
              <w:rPr>
                <w:rFonts w:ascii="Calibri" w:cs="Calibri" w:eastAsia="Calibri" w:hAnsi="Calibri"/>
                <w:color w:val="7A7460"/>
                <w:sz w:val="19"/>
                <w:szCs w:val="19"/>
              </w:rPr>
              <w:t xml:space="preserve">Northeast corner</w:t>
            </w:r>
          </w:p>
        </w:tc>
      </w:tr>
    </w:tbl>
    <w:p>
      <w:pPr>
        <w:spacing w:after="140"/>
      </w:pPr>
    </w:p>
    <w:p>
      <w:pPr>
        <w:spacing w:after="140" w:line="320"/>
        <w:jc w:val="both"/>
      </w:pPr>
      <w:r>
        <w:rPr>
          <w:rFonts w:ascii="Calibri" w:cs="Calibri" w:eastAsia="Calibri" w:hAnsi="Calibri"/>
          <w:color w:val="2A2418"/>
          <w:sz w:val="22"/>
          <w:szCs w:val="22"/>
        </w:rPr>
        <w:t xml:space="preserve">Primary block dimensions: approximately 916 m east-west by 933 m north-south. Primary block area: approximately 85.4 ha / 211 acres. The remaining acreage (to reach the stated ~261 acres / 106 ha total) is covered by additional contiguous or near-contiguous claims belonging to the Jingo claim group as filed with the BLM. Full claim-level documentation (LR2000 records, BLM Master Title Plats, and serial numbers) is available under NDA during due diligence.</w:t>
      </w:r>
    </w:p>
    <w:p>
      <w:pPr>
        <w:pStyle w:val="Heading1"/>
        <w:spacing w:after="180" w:before="360"/>
      </w:pPr>
      <w:r>
        <w:rPr>
          <w:rFonts w:ascii="Georgia" w:cs="Georgia" w:eastAsia="Georgia" w:hAnsi="Georgia"/>
          <w:b/>
          <w:bCs/>
          <w:color w:val="1A1612"/>
          <w:sz w:val="32"/>
          <w:szCs w:val="32"/>
        </w:rPr>
        <w:t xml:space="preserve">Claim Groups</w:t>
      </w:r>
    </w:p>
    <w:p>
      <w:pPr>
        <w:spacing w:after="140" w:line="320"/>
        <w:jc w:val="both"/>
      </w:pPr>
      <w:r>
        <w:rPr>
          <w:rFonts w:ascii="Calibri" w:cs="Calibri" w:eastAsia="Calibri" w:hAnsi="Calibri"/>
          <w:color w:val="2A2418"/>
          <w:sz w:val="22"/>
          <w:szCs w:val="22"/>
        </w:rPr>
        <w:t xml:space="preserve">The Jingo property consists of four named claim groups assembled to cover the full known strike of the principal vein system and surrounding exploration ground:</w:t>
      </w:r>
    </w:p>
    <w:p>
      <w:pPr>
        <w:pStyle w:val="ListParagraph"/>
        <w:numPr>
          <w:ilvl w:val="0"/>
          <w:numId w:val="2"/>
        </w:numPr>
        <w:spacing w:after="100" w:line="300"/>
      </w:pPr>
      <w:r>
        <w:rPr>
          <w:rFonts w:ascii="Calibri" w:cs="Calibri" w:eastAsia="Calibri" w:hAnsi="Calibri"/>
          <w:b/>
          <w:bCs/>
          <w:color w:val="1A1612"/>
          <w:sz w:val="22"/>
          <w:szCs w:val="22"/>
        </w:rPr>
        <w:t xml:space="preserve">Primary claims covering the historic Jingo Mine workings and the central portion of the fissure vein system. Hosts the principal adit and ore dump.</w:t>
      </w:r>
      <w:r>
        <w:rPr>
          <w:rFonts w:ascii="Calibri" w:cs="Calibri" w:eastAsia="Calibri" w:hAnsi="Calibri"/>
          <w:color w:val="2A2418"/>
          <w:sz w:val="22"/>
          <w:szCs w:val="22"/>
        </w:rPr>
        <w:t xml:space="preserve">Jingo Group — </w:t>
      </w:r>
    </w:p>
    <w:p>
      <w:pPr>
        <w:pStyle w:val="ListParagraph"/>
        <w:numPr>
          <w:ilvl w:val="0"/>
          <w:numId w:val="2"/>
        </w:numPr>
        <w:spacing w:after="100" w:line="300"/>
      </w:pPr>
      <w:r>
        <w:rPr>
          <w:rFonts w:ascii="Calibri" w:cs="Calibri" w:eastAsia="Calibri" w:hAnsi="Calibri"/>
          <w:b/>
          <w:bCs/>
          <w:color w:val="1A1612"/>
          <w:sz w:val="22"/>
          <w:szCs w:val="22"/>
        </w:rPr>
        <w:t xml:space="preserve">Adjoining claims to the north and northeast covering along-strike extension of the vein and additional historic prospect pits.</w:t>
      </w:r>
      <w:r>
        <w:rPr>
          <w:rFonts w:ascii="Calibri" w:cs="Calibri" w:eastAsia="Calibri" w:hAnsi="Calibri"/>
          <w:color w:val="2A2418"/>
          <w:sz w:val="22"/>
          <w:szCs w:val="22"/>
        </w:rPr>
        <w:t xml:space="preserve">Hornett — </w:t>
      </w:r>
    </w:p>
    <w:p>
      <w:pPr>
        <w:pStyle w:val="ListParagraph"/>
        <w:numPr>
          <w:ilvl w:val="0"/>
          <w:numId w:val="2"/>
        </w:numPr>
        <w:spacing w:after="100" w:line="300"/>
      </w:pPr>
      <w:r>
        <w:rPr>
          <w:rFonts w:ascii="Calibri" w:cs="Calibri" w:eastAsia="Calibri" w:hAnsi="Calibri"/>
          <w:b/>
          <w:bCs/>
          <w:color w:val="1A1612"/>
          <w:sz w:val="22"/>
          <w:szCs w:val="22"/>
        </w:rPr>
        <w:t xml:space="preserve">Adjoining claims providing buffer ground and covering structural extensions of the main vein system.</w:t>
      </w:r>
      <w:r>
        <w:rPr>
          <w:rFonts w:ascii="Calibri" w:cs="Calibri" w:eastAsia="Calibri" w:hAnsi="Calibri"/>
          <w:color w:val="2A2418"/>
          <w:sz w:val="22"/>
          <w:szCs w:val="22"/>
        </w:rPr>
        <w:t xml:space="preserve">Velvet — </w:t>
      </w:r>
    </w:p>
    <w:p>
      <w:pPr>
        <w:pStyle w:val="ListParagraph"/>
        <w:numPr>
          <w:ilvl w:val="0"/>
          <w:numId w:val="2"/>
        </w:numPr>
        <w:spacing w:after="100" w:line="300"/>
      </w:pPr>
      <w:r>
        <w:rPr>
          <w:rFonts w:ascii="Calibri" w:cs="Calibri" w:eastAsia="Calibri" w:hAnsi="Calibri"/>
          <w:b/>
          <w:bCs/>
          <w:color w:val="1A1612"/>
          <w:sz w:val="22"/>
          <w:szCs w:val="22"/>
        </w:rPr>
        <w:t xml:space="preserve">Adjoining claims providing additional regional coverage and along-strike continuity.</w:t>
      </w:r>
      <w:r>
        <w:rPr>
          <w:rFonts w:ascii="Calibri" w:cs="Calibri" w:eastAsia="Calibri" w:hAnsi="Calibri"/>
          <w:color w:val="2A2418"/>
          <w:sz w:val="22"/>
          <w:szCs w:val="22"/>
        </w:rPr>
        <w:t xml:space="preserve">Good Life — </w:t>
      </w:r>
    </w:p>
    <w:p>
      <w:pPr>
        <w:pStyle w:val="Heading1"/>
        <w:spacing w:after="180" w:before="360"/>
      </w:pPr>
      <w:r>
        <w:rPr>
          <w:rFonts w:ascii="Georgia" w:cs="Georgia" w:eastAsia="Georgia" w:hAnsi="Georgia"/>
          <w:b/>
          <w:bCs/>
          <w:color w:val="1A1612"/>
          <w:sz w:val="32"/>
          <w:szCs w:val="32"/>
        </w:rPr>
        <w:t xml:space="preserve">BLM Compliance &amp; Annual Maintenance</w:t>
      </w:r>
    </w:p>
    <w:p>
      <w:pPr>
        <w:spacing w:after="140" w:line="320"/>
        <w:jc w:val="both"/>
      </w:pPr>
      <w:r>
        <w:rPr>
          <w:rFonts w:ascii="Calibri" w:cs="Calibri" w:eastAsia="Calibri" w:hAnsi="Calibri"/>
          <w:color w:val="2A2418"/>
          <w:sz w:val="22"/>
          <w:szCs w:val="22"/>
        </w:rPr>
        <w:t xml:space="preserve">Unpatented mining claims on federal BLM land in Idaho are governed by the General Mining Law of 1872 as administered by the Bureau of Land Management. Required annual obligations include:</w:t>
      </w:r>
    </w:p>
    <w:p>
      <w:pPr>
        <w:pStyle w:val="ListParagraph"/>
        <w:numPr>
          <w:ilvl w:val="0"/>
          <w:numId w:val="2"/>
        </w:numPr>
        <w:spacing w:after="100" w:line="300"/>
      </w:pPr>
      <w:r>
        <w:rPr>
          <w:rFonts w:ascii="Calibri" w:cs="Calibri" w:eastAsia="Calibri" w:hAnsi="Calibri"/>
          <w:color w:val="2A2418"/>
          <w:sz w:val="22"/>
          <w:szCs w:val="22"/>
        </w:rPr>
        <w:t xml:space="preserve">Annual maintenance fee (currently $200 per claim, payable to BLM by September 1 each year) OR submission of an affidavit of annual labor demonstrating $100 in qualifying assessment work per claim;</w:t>
      </w:r>
    </w:p>
    <w:p>
      <w:pPr>
        <w:pStyle w:val="ListParagraph"/>
        <w:numPr>
          <w:ilvl w:val="0"/>
          <w:numId w:val="2"/>
        </w:numPr>
        <w:spacing w:after="100" w:line="300"/>
      </w:pPr>
      <w:r>
        <w:rPr>
          <w:rFonts w:ascii="Calibri" w:cs="Calibri" w:eastAsia="Calibri" w:hAnsi="Calibri"/>
          <w:color w:val="2A2418"/>
          <w:sz w:val="22"/>
          <w:szCs w:val="22"/>
        </w:rPr>
        <w:t xml:space="preserve">Filing of an annual maintenance fee waiver and notice of intent (small miner waiver available for operators holding 10 or fewer claims, subject to specified work obligations);</w:t>
      </w:r>
    </w:p>
    <w:p>
      <w:pPr>
        <w:pStyle w:val="ListParagraph"/>
        <w:numPr>
          <w:ilvl w:val="0"/>
          <w:numId w:val="2"/>
        </w:numPr>
        <w:spacing w:after="100" w:line="300"/>
      </w:pPr>
      <w:r>
        <w:rPr>
          <w:rFonts w:ascii="Calibri" w:cs="Calibri" w:eastAsia="Calibri" w:hAnsi="Calibri"/>
          <w:color w:val="2A2418"/>
          <w:sz w:val="22"/>
          <w:szCs w:val="22"/>
        </w:rPr>
        <w:t xml:space="preserve">County recording of all claim location notices, amendments, and proofs of labor with the Elmore County Recorder.</w:t>
      </w:r>
    </w:p>
    <w:p>
      <w:pPr>
        <w:spacing w:after="140" w:line="320"/>
        <w:jc w:val="both"/>
      </w:pPr>
      <w:r>
        <w:rPr>
          <w:rFonts w:ascii="Calibri" w:cs="Calibri" w:eastAsia="Calibri" w:hAnsi="Calibri"/>
          <w:color w:val="2A2418"/>
          <w:sz w:val="22"/>
          <w:szCs w:val="22"/>
        </w:rPr>
        <w:t xml:space="preserve">Status of all required filings, payments, and recordings should be confirmed via BLM LR2000 search and an Elmore County title search during due diligence.</w:t>
      </w:r>
    </w:p>
    <w:p>
      <w:pPr>
        <w:pStyle w:val="Heading1"/>
        <w:spacing w:after="180" w:before="360"/>
      </w:pPr>
      <w:r>
        <w:rPr>
          <w:rFonts w:ascii="Georgia" w:cs="Georgia" w:eastAsia="Georgia" w:hAnsi="Georgia"/>
          <w:b/>
          <w:bCs/>
          <w:color w:val="1A1612"/>
          <w:sz w:val="32"/>
          <w:szCs w:val="32"/>
        </w:rPr>
        <w:t xml:space="preserve">Surface and Mineral Rights</w:t>
      </w:r>
    </w:p>
    <w:p>
      <w:pPr>
        <w:spacing w:after="140" w:line="320"/>
        <w:jc w:val="both"/>
      </w:pPr>
      <w:r>
        <w:rPr>
          <w:rFonts w:ascii="Calibri" w:cs="Calibri" w:eastAsia="Calibri" w:hAnsi="Calibri"/>
          <w:color w:val="2A2418"/>
          <w:sz w:val="22"/>
          <w:szCs w:val="22"/>
        </w:rPr>
        <w:t xml:space="preserve">The Jingo claims are unpatented — title to the surface estate remains with the U.S. federal government. The claim-holder has the right to enter the land, conduct exploration, and extract minerals discovered, subject to BLM surface management regulations (43 CFR 3809) and the Federal Land Policy and Management Act. No private surface owner consent is required for activities on unpatented claims, though Notice of Operations or Plan of Operations approval is required for surface-disturbing activity.</w:t>
      </w:r>
    </w:p>
    <w:p>
      <w:pPr>
        <w:pStyle w:val="Heading1"/>
        <w:spacing w:after="180" w:before="360"/>
      </w:pPr>
      <w:r>
        <w:rPr>
          <w:rFonts w:ascii="Georgia" w:cs="Georgia" w:eastAsia="Georgia" w:hAnsi="Georgia"/>
          <w:b/>
          <w:bCs/>
          <w:color w:val="1A1612"/>
          <w:sz w:val="32"/>
          <w:szCs w:val="32"/>
        </w:rPr>
        <w:t xml:space="preserve">Operating Permits Required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6160"/>
      </w:tblGrid>
      <w:tr>
        <w:tc>
          <w:tcPr>
            <w:tcW w:type="dxa" w:w="3200"/>
            <w:tcBorders>
              <w:top w:val="single" w:color="D8D0B5" w:sz="4"/>
              <w:left w:val="single" w:color="D8D0B5" w:sz="4"/>
              <w:bottom w:val="single" w:color="D8D0B5" w:sz="4"/>
              <w:right w:val="single" w:color="D8D0B5" w:sz="4"/>
            </w:tcBorders>
            <w:shd w:fill="F5EFD9" w:val="clear"/>
            <w:tcMar>
              <w:top w:type="dxa" w:w="100"/>
              <w:left w:type="dxa" w:w="180"/>
              <w:bottom w:type="dxa" w:w="100"/>
              <w:right w:type="dxa" w:w="140"/>
            </w:tcMar>
          </w:tcPr>
          <w:p>
            <w:r>
              <w:rPr>
                <w:rFonts w:ascii="Calibri" w:cs="Calibri" w:eastAsia="Calibri" w:hAnsi="Calibri"/>
                <w:b/>
                <w:bCs/>
                <w:color w:val="1A1612"/>
                <w:sz w:val="19"/>
                <w:szCs w:val="19"/>
              </w:rPr>
              <w:t xml:space="preserve">Notice of Operations</w:t>
            </w:r>
          </w:p>
        </w:tc>
        <w:tc>
          <w:tcPr>
            <w:tcW w:type="dxa" w:w="6160"/>
            <w:tcBorders>
              <w:top w:val="single" w:color="D8D0B5" w:sz="4"/>
              <w:left w:val="single" w:color="D8D0B5" w:sz="4"/>
              <w:bottom w:val="single" w:color="D8D0B5" w:sz="4"/>
              <w:right w:val="single" w:color="D8D0B5" w:sz="4"/>
            </w:tcBorders>
            <w:tcMar>
              <w:top w:type="dxa" w:w="100"/>
              <w:left w:type="dxa" w:w="160"/>
              <w:bottom w:type="dxa" w:w="100"/>
              <w:right w:type="dxa" w:w="160"/>
            </w:tcMar>
          </w:tcPr>
          <w:p>
            <w:r>
              <w:rPr>
                <w:rFonts w:ascii="Calibri" w:cs="Calibri" w:eastAsia="Calibri" w:hAnsi="Calibri"/>
                <w:color w:val="2A2418"/>
                <w:sz w:val="20"/>
                <w:szCs w:val="20"/>
              </w:rPr>
              <w:t xml:space="preserve">Required for surface disturbance &lt;5 acres on BLM land (43 CFR 3809.21); typically 15–30 day BLM review</w:t>
            </w:r>
          </w:p>
        </w:tc>
      </w:tr>
      <w:tr>
        <w:tc>
          <w:tcPr>
            <w:tcW w:type="dxa" w:w="3200"/>
            <w:tcBorders>
              <w:top w:val="single" w:color="D8D0B5" w:sz="4"/>
              <w:left w:val="single" w:color="D8D0B5" w:sz="4"/>
              <w:bottom w:val="single" w:color="D8D0B5" w:sz="4"/>
              <w:right w:val="single" w:color="D8D0B5" w:sz="4"/>
            </w:tcBorders>
            <w:shd w:fill="F5EFD9" w:val="clear"/>
            <w:tcMar>
              <w:top w:type="dxa" w:w="100"/>
              <w:left w:type="dxa" w:w="180"/>
              <w:bottom w:type="dxa" w:w="100"/>
              <w:right w:type="dxa" w:w="140"/>
            </w:tcMar>
          </w:tcPr>
          <w:p>
            <w:r>
              <w:rPr>
                <w:rFonts w:ascii="Calibri" w:cs="Calibri" w:eastAsia="Calibri" w:hAnsi="Calibri"/>
                <w:b/>
                <w:bCs/>
                <w:color w:val="1A1612"/>
                <w:sz w:val="19"/>
                <w:szCs w:val="19"/>
              </w:rPr>
              <w:t xml:space="preserve">Plan of Operations</w:t>
            </w:r>
          </w:p>
        </w:tc>
        <w:tc>
          <w:tcPr>
            <w:tcW w:type="dxa" w:w="6160"/>
            <w:tcBorders>
              <w:top w:val="single" w:color="D8D0B5" w:sz="4"/>
              <w:left w:val="single" w:color="D8D0B5" w:sz="4"/>
              <w:bottom w:val="single" w:color="D8D0B5" w:sz="4"/>
              <w:right w:val="single" w:color="D8D0B5" w:sz="4"/>
            </w:tcBorders>
            <w:tcMar>
              <w:top w:type="dxa" w:w="100"/>
              <w:left w:type="dxa" w:w="160"/>
              <w:bottom w:type="dxa" w:w="100"/>
              <w:right w:type="dxa" w:w="160"/>
            </w:tcMar>
          </w:tcPr>
          <w:p>
            <w:r>
              <w:rPr>
                <w:rFonts w:ascii="Calibri" w:cs="Calibri" w:eastAsia="Calibri" w:hAnsi="Calibri"/>
                <w:color w:val="2A2418"/>
                <w:sz w:val="20"/>
                <w:szCs w:val="20"/>
              </w:rPr>
              <w:t xml:space="preserve">Required for &gt;5 acres of disturbance; subject to NEPA review (EA or EIS); typically 6–18 months</w:t>
            </w:r>
          </w:p>
        </w:tc>
      </w:tr>
      <w:tr>
        <w:tc>
          <w:tcPr>
            <w:tcW w:type="dxa" w:w="3200"/>
            <w:tcBorders>
              <w:top w:val="single" w:color="D8D0B5" w:sz="4"/>
              <w:left w:val="single" w:color="D8D0B5" w:sz="4"/>
              <w:bottom w:val="single" w:color="D8D0B5" w:sz="4"/>
              <w:right w:val="single" w:color="D8D0B5" w:sz="4"/>
            </w:tcBorders>
            <w:shd w:fill="F5EFD9" w:val="clear"/>
            <w:tcMar>
              <w:top w:type="dxa" w:w="100"/>
              <w:left w:type="dxa" w:w="180"/>
              <w:bottom w:type="dxa" w:w="100"/>
              <w:right w:type="dxa" w:w="140"/>
            </w:tcMar>
          </w:tcPr>
          <w:p>
            <w:r>
              <w:rPr>
                <w:rFonts w:ascii="Calibri" w:cs="Calibri" w:eastAsia="Calibri" w:hAnsi="Calibri"/>
                <w:b/>
                <w:bCs/>
                <w:color w:val="1A1612"/>
                <w:sz w:val="19"/>
                <w:szCs w:val="19"/>
              </w:rPr>
              <w:t xml:space="preserve">Idaho DEQ</w:t>
            </w:r>
          </w:p>
        </w:tc>
        <w:tc>
          <w:tcPr>
            <w:tcW w:type="dxa" w:w="6160"/>
            <w:tcBorders>
              <w:top w:val="single" w:color="D8D0B5" w:sz="4"/>
              <w:left w:val="single" w:color="D8D0B5" w:sz="4"/>
              <w:bottom w:val="single" w:color="D8D0B5" w:sz="4"/>
              <w:right w:val="single" w:color="D8D0B5" w:sz="4"/>
            </w:tcBorders>
            <w:tcMar>
              <w:top w:type="dxa" w:w="100"/>
              <w:left w:type="dxa" w:w="160"/>
              <w:bottom w:type="dxa" w:w="100"/>
              <w:right w:type="dxa" w:w="160"/>
            </w:tcMar>
          </w:tcPr>
          <w:p>
            <w:r>
              <w:rPr>
                <w:rFonts w:ascii="Calibri" w:cs="Calibri" w:eastAsia="Calibri" w:hAnsi="Calibri"/>
                <w:color w:val="2A2418"/>
                <w:sz w:val="20"/>
                <w:szCs w:val="20"/>
              </w:rPr>
              <w:t xml:space="preserve">Storm water and any wastewater discharges (Surface Water Discharge Permit if needed)</w:t>
            </w:r>
          </w:p>
        </w:tc>
      </w:tr>
      <w:tr>
        <w:tc>
          <w:tcPr>
            <w:tcW w:type="dxa" w:w="3200"/>
            <w:tcBorders>
              <w:top w:val="single" w:color="D8D0B5" w:sz="4"/>
              <w:left w:val="single" w:color="D8D0B5" w:sz="4"/>
              <w:bottom w:val="single" w:color="D8D0B5" w:sz="4"/>
              <w:right w:val="single" w:color="D8D0B5" w:sz="4"/>
            </w:tcBorders>
            <w:shd w:fill="F5EFD9" w:val="clear"/>
            <w:tcMar>
              <w:top w:type="dxa" w:w="100"/>
              <w:left w:type="dxa" w:w="180"/>
              <w:bottom w:type="dxa" w:w="100"/>
              <w:right w:type="dxa" w:w="140"/>
            </w:tcMar>
          </w:tcPr>
          <w:p>
            <w:r>
              <w:rPr>
                <w:rFonts w:ascii="Calibri" w:cs="Calibri" w:eastAsia="Calibri" w:hAnsi="Calibri"/>
                <w:b/>
                <w:bCs/>
                <w:color w:val="1A1612"/>
                <w:sz w:val="19"/>
                <w:szCs w:val="19"/>
              </w:rPr>
              <w:t xml:space="preserve">Idaho Dept. of Lands</w:t>
            </w:r>
          </w:p>
        </w:tc>
        <w:tc>
          <w:tcPr>
            <w:tcW w:type="dxa" w:w="6160"/>
            <w:tcBorders>
              <w:top w:val="single" w:color="D8D0B5" w:sz="4"/>
              <w:left w:val="single" w:color="D8D0B5" w:sz="4"/>
              <w:bottom w:val="single" w:color="D8D0B5" w:sz="4"/>
              <w:right w:val="single" w:color="D8D0B5" w:sz="4"/>
            </w:tcBorders>
            <w:tcMar>
              <w:top w:type="dxa" w:w="100"/>
              <w:left w:type="dxa" w:w="160"/>
              <w:bottom w:type="dxa" w:w="100"/>
              <w:right w:type="dxa" w:w="160"/>
            </w:tcMar>
          </w:tcPr>
          <w:p>
            <w:r>
              <w:rPr>
                <w:rFonts w:ascii="Calibri" w:cs="Calibri" w:eastAsia="Calibri" w:hAnsi="Calibri"/>
                <w:color w:val="2A2418"/>
                <w:sz w:val="20"/>
                <w:szCs w:val="20"/>
              </w:rPr>
              <w:t xml:space="preserve">Cyanide processing permit (not applicable to exploration); Reclamation plan</w:t>
            </w:r>
          </w:p>
        </w:tc>
      </w:tr>
      <w:tr>
        <w:tc>
          <w:tcPr>
            <w:tcW w:type="dxa" w:w="3200"/>
            <w:tcBorders>
              <w:top w:val="single" w:color="D8D0B5" w:sz="4"/>
              <w:left w:val="single" w:color="D8D0B5" w:sz="4"/>
              <w:bottom w:val="single" w:color="D8D0B5" w:sz="4"/>
              <w:right w:val="single" w:color="D8D0B5" w:sz="4"/>
            </w:tcBorders>
            <w:shd w:fill="F5EFD9" w:val="clear"/>
            <w:tcMar>
              <w:top w:type="dxa" w:w="100"/>
              <w:left w:type="dxa" w:w="180"/>
              <w:bottom w:type="dxa" w:w="100"/>
              <w:right w:type="dxa" w:w="140"/>
            </w:tcMar>
          </w:tcPr>
          <w:p>
            <w:r>
              <w:rPr>
                <w:rFonts w:ascii="Calibri" w:cs="Calibri" w:eastAsia="Calibri" w:hAnsi="Calibri"/>
                <w:b/>
                <w:bCs/>
                <w:color w:val="1A1612"/>
                <w:sz w:val="19"/>
                <w:szCs w:val="19"/>
              </w:rPr>
              <w:t xml:space="preserve">Forest Service / USFS</w:t>
            </w:r>
          </w:p>
        </w:tc>
        <w:tc>
          <w:tcPr>
            <w:tcW w:type="dxa" w:w="6160"/>
            <w:tcBorders>
              <w:top w:val="single" w:color="D8D0B5" w:sz="4"/>
              <w:left w:val="single" w:color="D8D0B5" w:sz="4"/>
              <w:bottom w:val="single" w:color="D8D0B5" w:sz="4"/>
              <w:right w:val="single" w:color="D8D0B5" w:sz="4"/>
            </w:tcBorders>
            <w:tcMar>
              <w:top w:type="dxa" w:w="100"/>
              <w:left w:type="dxa" w:w="160"/>
              <w:bottom w:type="dxa" w:w="100"/>
              <w:right w:type="dxa" w:w="160"/>
            </w:tcMar>
          </w:tcPr>
          <w:p>
            <w:r>
              <w:rPr>
                <w:rFonts w:ascii="Calibri" w:cs="Calibri" w:eastAsia="Calibri" w:hAnsi="Calibri"/>
                <w:color w:val="2A2418"/>
                <w:sz w:val="20"/>
                <w:szCs w:val="20"/>
              </w:rPr>
              <w:t xml:space="preserve">Not applicable (BLM land, not USFS)</w:t>
            </w:r>
          </w:p>
        </w:tc>
      </w:tr>
      <w:tr>
        <w:tc>
          <w:tcPr>
            <w:tcW w:type="dxa" w:w="3200"/>
            <w:tcBorders>
              <w:top w:val="single" w:color="D8D0B5" w:sz="4"/>
              <w:left w:val="single" w:color="D8D0B5" w:sz="4"/>
              <w:bottom w:val="single" w:color="D8D0B5" w:sz="4"/>
              <w:right w:val="single" w:color="D8D0B5" w:sz="4"/>
            </w:tcBorders>
            <w:shd w:fill="F5EFD9" w:val="clear"/>
            <w:tcMar>
              <w:top w:type="dxa" w:w="100"/>
              <w:left w:type="dxa" w:w="180"/>
              <w:bottom w:type="dxa" w:w="100"/>
              <w:right w:type="dxa" w:w="140"/>
            </w:tcMar>
          </w:tcPr>
          <w:p>
            <w:r>
              <w:rPr>
                <w:rFonts w:ascii="Calibri" w:cs="Calibri" w:eastAsia="Calibri" w:hAnsi="Calibri"/>
                <w:b/>
                <w:bCs/>
                <w:color w:val="1A1612"/>
                <w:sz w:val="19"/>
                <w:szCs w:val="19"/>
              </w:rPr>
              <w:t xml:space="preserve">Cultural / Archaeological</w:t>
            </w:r>
          </w:p>
        </w:tc>
        <w:tc>
          <w:tcPr>
            <w:tcW w:type="dxa" w:w="6160"/>
            <w:tcBorders>
              <w:top w:val="single" w:color="D8D0B5" w:sz="4"/>
              <w:left w:val="single" w:color="D8D0B5" w:sz="4"/>
              <w:bottom w:val="single" w:color="D8D0B5" w:sz="4"/>
              <w:right w:val="single" w:color="D8D0B5" w:sz="4"/>
            </w:tcBorders>
            <w:tcMar>
              <w:top w:type="dxa" w:w="100"/>
              <w:left w:type="dxa" w:w="160"/>
              <w:bottom w:type="dxa" w:w="100"/>
              <w:right w:type="dxa" w:w="160"/>
            </w:tcMar>
          </w:tcPr>
          <w:p>
            <w:r>
              <w:rPr>
                <w:rFonts w:ascii="Calibri" w:cs="Calibri" w:eastAsia="Calibri" w:hAnsi="Calibri"/>
                <w:color w:val="2A2418"/>
                <w:sz w:val="20"/>
                <w:szCs w:val="20"/>
              </w:rPr>
              <w:t xml:space="preserve">Section 106 Class III survey before any ground disturbance</w:t>
            </w:r>
          </w:p>
        </w:tc>
      </w:tr>
      <w:tr>
        <w:tc>
          <w:tcPr>
            <w:tcW w:type="dxa" w:w="3200"/>
            <w:tcBorders>
              <w:top w:val="single" w:color="D8D0B5" w:sz="4"/>
              <w:left w:val="single" w:color="D8D0B5" w:sz="4"/>
              <w:bottom w:val="single" w:color="D8D0B5" w:sz="4"/>
              <w:right w:val="single" w:color="D8D0B5" w:sz="4"/>
            </w:tcBorders>
            <w:shd w:fill="F5EFD9" w:val="clear"/>
            <w:tcMar>
              <w:top w:type="dxa" w:w="100"/>
              <w:left w:type="dxa" w:w="180"/>
              <w:bottom w:type="dxa" w:w="100"/>
              <w:right w:type="dxa" w:w="140"/>
            </w:tcMar>
          </w:tcPr>
          <w:p>
            <w:r>
              <w:rPr>
                <w:rFonts w:ascii="Calibri" w:cs="Calibri" w:eastAsia="Calibri" w:hAnsi="Calibri"/>
                <w:b/>
                <w:bCs/>
                <w:color w:val="1A1612"/>
                <w:sz w:val="19"/>
                <w:szCs w:val="19"/>
              </w:rPr>
              <w:t xml:space="preserve">Reclamation Bond</w:t>
            </w:r>
          </w:p>
        </w:tc>
        <w:tc>
          <w:tcPr>
            <w:tcW w:type="dxa" w:w="6160"/>
            <w:tcBorders>
              <w:top w:val="single" w:color="D8D0B5" w:sz="4"/>
              <w:left w:val="single" w:color="D8D0B5" w:sz="4"/>
              <w:bottom w:val="single" w:color="D8D0B5" w:sz="4"/>
              <w:right w:val="single" w:color="D8D0B5" w:sz="4"/>
            </w:tcBorders>
            <w:tcMar>
              <w:top w:type="dxa" w:w="100"/>
              <w:left w:type="dxa" w:w="160"/>
              <w:bottom w:type="dxa" w:w="100"/>
              <w:right w:type="dxa" w:w="160"/>
            </w:tcMar>
          </w:tcPr>
          <w:p>
            <w:r>
              <w:rPr>
                <w:rFonts w:ascii="Calibri" w:cs="Calibri" w:eastAsia="Calibri" w:hAnsi="Calibri"/>
                <w:color w:val="2A2418"/>
                <w:sz w:val="20"/>
                <w:szCs w:val="20"/>
              </w:rPr>
              <w:t xml:space="preserve">Required by BLM and Idaho DOL — sized to estimated reclamation cost</w:t>
            </w:r>
          </w:p>
        </w:tc>
      </w:tr>
    </w:tbl>
    <w:p>
      <w:pPr>
        <w:spacing w:after="200"/>
      </w:pPr>
    </w:p>
    <w:p>
      <w:pPr>
        <w:pBdr>
          <w:top w:val="single" w:color="C5A028" w:sz="8" w:space="6"/>
        </w:pBdr>
        <w:spacing w:after="80" w:before="240"/>
      </w:pPr>
      <w:r>
        <w:rPr>
          <w:rFonts w:ascii="Calibri" w:cs="Calibri" w:eastAsia="Calibri" w:hAnsi="Calibri"/>
          <w:b/>
          <w:bCs/>
          <w:color w:val="7A7460"/>
          <w:spacing w:val="60"/>
          <w:sz w:val="18"/>
          <w:szCs w:val="18"/>
        </w:rPr>
        <w:t xml:space="preserve">NOTE</w:t>
      </w:r>
    </w:p>
    <w:p>
      <w:pPr>
        <w:spacing w:after="80" w:line="280"/>
      </w:pPr>
      <w:r>
        <w:rPr>
          <w:rFonts w:ascii="Calibri" w:cs="Calibri" w:eastAsia="Calibri" w:hAnsi="Calibri"/>
          <w:i/>
          <w:iCs/>
          <w:color w:val="7A7460"/>
          <w:sz w:val="18"/>
          <w:szCs w:val="18"/>
        </w:rPr>
        <w:t xml:space="preserve">Coordinates and area values are derived from the supplied KMZ file and vendor-provided documentation. Full title verification and BLM LR2000 records should be obtained as part of due diligence. This document is for reference only and does not constitute legal or title advice.</w:t>
      </w:r>
    </w:p>
    <w:sectPr>
      <w:headerReference w:type="default" r:id="rId7"/>
      <w:footerReference w:type="default" r:id="rId8"/>
      <w:pgSz w:w="12240" w:h="15840" w:orient="portrait"/>
      <w:pgMar w:top="1100" w:right="1300" w:bottom="1100" w:left="13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7A7460"/>
        <w:sz w:val="16"/>
        <w:szCs w:val="16"/>
      </w:rPr>
      <w:t xml:space="preserve">Claims Register  •  Page </w:t>
    </w:r>
    <w:r>
      <w:rPr>
        <w:rFonts w:ascii="Calibri" w:cs="Calibri" w:eastAsia="Calibri" w:hAnsi="Calibri"/>
        <w:color w:val="7A7460"/>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Calibri" w:cs="Calibri" w:eastAsia="Calibri" w:hAnsi="Calibri"/>
        <w:color w:val="7A7460"/>
        <w:spacing w:val="40"/>
        <w:sz w:val="16"/>
        <w:szCs w:val="16"/>
      </w:rPr>
      <w:t xml:space="preserve">JINGO GOLD PROJECT  •  DATA ROOM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80"/>
      </w:pPr>
      <w:rPr>
        <w:rFonts w:ascii="Calibri" w:cs="Calibri" w:eastAsia="Calibri" w:hAnsi="Calibri"/>
        <w:color w:val="8B6C12"/>
        <w:sz w:val="16"/>
        <w:szCs w:val="16"/>
      </w:r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Jingo Gold Project — Claims Register</dc:title>
  <dc:creator>Jingo Data Room</dc:creator>
  <cp:lastModifiedBy>Un-named</cp:lastModifiedBy>
  <cp:revision>1</cp:revision>
  <dcterms:created xsi:type="dcterms:W3CDTF">2026-05-16T18:03:49.070Z</dcterms:created>
  <dcterms:modified xsi:type="dcterms:W3CDTF">2026-05-16T18:03:49.070Z</dcterms:modified>
</cp:coreProperties>
</file>

<file path=docProps/custom.xml><?xml version="1.0" encoding="utf-8"?>
<Properties xmlns="http://schemas.openxmlformats.org/officeDocument/2006/custom-properties" xmlns:vt="http://schemas.openxmlformats.org/officeDocument/2006/docPropsVTypes"/>
</file>