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7A7460"/>
          <w:spacing w:val="60"/>
          <w:sz w:val="17"/>
          <w:szCs w:val="17"/>
        </w:rPr>
        <w:t xml:space="preserve">FINANCIAL ANALYSIS — DOCUMENT 04.1  |  DATA ROOM</w:t>
      </w:r>
    </w:p>
    <w:p>
      <w:pPr>
        <w:spacing w:after="20"/>
      </w:pPr>
      <w:r>
        <w:rPr>
          <w:rFonts w:ascii="Georgia" w:cs="Georgia" w:eastAsia="Georgia" w:hAnsi="Georgia"/>
          <w:b/>
          <w:bCs/>
          <w:color w:val="1A1612"/>
          <w:sz w:val="48"/>
          <w:szCs w:val="48"/>
        </w:rPr>
        <w:t xml:space="preserve">Indicative Financial Analysis</w:t>
      </w:r>
    </w:p>
    <w:p>
      <w:pPr>
        <w:spacing w:after="40"/>
      </w:pPr>
      <w:r>
        <w:rPr>
          <w:rFonts w:ascii="Georgia" w:cs="Georgia" w:eastAsia="Georgia" w:hAnsi="Georgia"/>
          <w:i/>
          <w:iCs/>
          <w:color w:val="8B6C12"/>
          <w:sz w:val="26"/>
          <w:szCs w:val="26"/>
        </w:rPr>
        <w:t xml:space="preserve">Jingo Gold Project — Exploration Economics &amp; Scenario Modelling</w:t>
      </w:r>
    </w:p>
    <w:p>
      <w:pPr>
        <w:pBdr>
          <w:bottom w:val="single" w:color="C5A028" w:sz="24" w:space="1"/>
        </w:pBdr>
        <w:spacing w:after="240"/>
      </w:pPr>
    </w:p>
    <w:p>
      <w:pPr>
        <w:spacing w:after="160"/>
      </w:pPr>
      <w:r>
        <w:rPr>
          <w:rFonts w:ascii="Calibri" w:cs="Calibri" w:eastAsia="Calibri" w:hAnsi="Calibri"/>
          <w:b/>
          <w:bCs/>
          <w:color w:val="8B2A1A"/>
          <w:spacing w:val="40"/>
          <w:sz w:val="20"/>
          <w:szCs w:val="20"/>
        </w:rPr>
        <w:t xml:space="preserve">IMPORTANT DISCLAIMER</w:t>
      </w:r>
    </w:p>
    <w:p>
      <w:pPr>
        <w:spacing w:after="220" w:line="300"/>
      </w:pPr>
      <w:r>
        <w:rPr>
          <w:rFonts w:ascii="Calibri" w:cs="Calibri" w:eastAsia="Calibri" w:hAnsi="Calibri"/>
          <w:i/>
          <w:iCs/>
          <w:color w:val="4A1010"/>
          <w:sz w:val="20"/>
          <w:szCs w:val="20"/>
        </w:rPr>
        <w:t xml:space="preserve">This document presents indicative, conceptual financial analysis only. It is NOT an NI 43-101 / SK 1300 mineral resource estimate, a preliminary economic assessment (PEA), or a feasibility study. No resource has been defined at Jingo. All scenarios are hypothetical and are provided solely to illustrate the potential economic scale of a discovery relative to exploration cost. This analysis should not be relied upon for investment decisions. Independent due diligence by a qualified person is required.</w:t>
      </w:r>
    </w:p>
    <w:p>
      <w:pPr>
        <w:pBdr>
          <w:bottom w:val="single" w:color="8B2A1A" w:sz="8" w:space="4"/>
        </w:pBdr>
        <w:spacing w:after="240"/>
      </w:pPr>
    </w:p>
    <w:p>
      <w:pPr>
        <w:pStyle w:val="Heading1"/>
        <w:spacing w:after="180" w:before="360"/>
      </w:pPr>
      <w:r>
        <w:rPr>
          <w:rFonts w:ascii="Georgia" w:cs="Georgia" w:eastAsia="Georgia" w:hAnsi="Georgia"/>
          <w:b/>
          <w:bCs/>
          <w:color w:val="1A1612"/>
          <w:sz w:val="32"/>
          <w:szCs w:val="32"/>
        </w:rPr>
        <w:t xml:space="preserve">Exploration Budget — Phase 1 to Resource</w:t>
      </w:r>
    </w:p>
    <w:p>
      <w:pPr>
        <w:spacing w:after="140" w:line="320"/>
        <w:jc w:val="both"/>
      </w:pPr>
      <w:r>
        <w:rPr>
          <w:rFonts w:ascii="Calibri" w:cs="Calibri" w:eastAsia="Calibri" w:hAnsi="Calibri"/>
          <w:color w:val="2A2418"/>
          <w:sz w:val="22"/>
          <w:szCs w:val="22"/>
        </w:rPr>
        <w:t xml:space="preserve">The following budget outlines the estimated cost to advance the Jingo property from its current early-exploration stage to a maiden NI 43-101 (or SK 1300) compliant mineral resource estimate. All figures are in U.S. dollars and reflect 2025–26 Idaho/U.S. Mountain West contractor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4060"/>
        <w:gridCol w:w="2100"/>
        <w:gridCol w:w="1900"/>
      </w:tblGrid>
      <w:tr>
        <w:trPr>
          <w:tblHeader/>
        </w:trPr>
        <w:tc>
          <w:tcPr>
            <w:tcW w:type="dxa" w:w="13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Phase</w:t>
            </w:r>
          </w:p>
        </w:tc>
        <w:tc>
          <w:tcPr>
            <w:tcW w:type="dxa" w:w="406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Scope</w:t>
            </w:r>
          </w:p>
        </w:tc>
        <w:tc>
          <w:tcPr>
            <w:tcW w:type="dxa" w:w="21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Timeline</w:t>
            </w:r>
          </w:p>
        </w:tc>
        <w:tc>
          <w:tcPr>
            <w:tcW w:type="dxa" w:w="19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Budget (USD)</w:t>
            </w:r>
          </w:p>
        </w:tc>
      </w:tr>
      <w:tr>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1A1612"/>
                <w:sz w:val="20"/>
                <w:szCs w:val="20"/>
              </w:rPr>
              <w:t xml:space="preserve">1A</w:t>
            </w:r>
          </w:p>
        </w:tc>
        <w:tc>
          <w:tcPr>
            <w:tcW w:type="dxa" w:w="40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2A2418"/>
                <w:sz w:val="20"/>
                <w:szCs w:val="20"/>
              </w:rPr>
              <w:t xml:space="preserve">Detailed mapping (1:2,500), modern channel + chip sampling with full QA/QC</w:t>
            </w:r>
          </w:p>
        </w:tc>
        <w:tc>
          <w:tcPr>
            <w:tcW w:type="dxa" w:w="21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2–3 months</w:t>
            </w:r>
          </w:p>
        </w:tc>
        <w:tc>
          <w:tcPr>
            <w:tcW w:type="dxa" w:w="1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$60,000 – $120,000</w:t>
            </w:r>
          </w:p>
        </w:tc>
      </w:tr>
      <w:tr>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1A1612"/>
                <w:sz w:val="20"/>
                <w:szCs w:val="20"/>
              </w:rPr>
              <w:t xml:space="preserve">1B</w:t>
            </w:r>
          </w:p>
        </w:tc>
        <w:tc>
          <w:tcPr>
            <w:tcW w:type="dxa" w:w="40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2A2418"/>
                <w:sz w:val="20"/>
                <w:szCs w:val="20"/>
              </w:rPr>
              <w:t xml:space="preserve">Ground geophysics (IP, mag, resistivity) over ~1 km vein strike</w:t>
            </w:r>
          </w:p>
        </w:tc>
        <w:tc>
          <w:tcPr>
            <w:tcW w:type="dxa" w:w="21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1–2 months</w:t>
            </w:r>
          </w:p>
        </w:tc>
        <w:tc>
          <w:tcPr>
            <w:tcW w:type="dxa" w:w="1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$80,000 – $150,000</w:t>
            </w:r>
          </w:p>
        </w:tc>
      </w:tr>
      <w:tr>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1A1612"/>
                <w:sz w:val="20"/>
                <w:szCs w:val="20"/>
              </w:rPr>
              <w:t xml:space="preserve">1C</w:t>
            </w:r>
          </w:p>
        </w:tc>
        <w:tc>
          <w:tcPr>
            <w:tcW w:type="dxa" w:w="40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2A2418"/>
                <w:sz w:val="20"/>
                <w:szCs w:val="20"/>
              </w:rPr>
              <w:t xml:space="preserve">5–8 RC or core drill holes (100–250 m depth, ~1,200–1,800 m total)</w:t>
            </w:r>
          </w:p>
        </w:tc>
        <w:tc>
          <w:tcPr>
            <w:tcW w:type="dxa" w:w="21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3–5 months</w:t>
            </w:r>
          </w:p>
        </w:tc>
        <w:tc>
          <w:tcPr>
            <w:tcW w:type="dxa" w:w="1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$350,000 – $700,000</w:t>
            </w:r>
          </w:p>
        </w:tc>
      </w:tr>
      <w:tr>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1A1612"/>
                <w:sz w:val="20"/>
                <w:szCs w:val="20"/>
              </w:rPr>
              <w:t xml:space="preserve">1D</w:t>
            </w:r>
          </w:p>
        </w:tc>
        <w:tc>
          <w:tcPr>
            <w:tcW w:type="dxa" w:w="40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2A2418"/>
                <w:sz w:val="20"/>
                <w:szCs w:val="20"/>
              </w:rPr>
              <w:t xml:space="preserve">Assay, QA/QC, geological 3D modelling, Phase 2 design</w:t>
            </w:r>
          </w:p>
        </w:tc>
        <w:tc>
          <w:tcPr>
            <w:tcW w:type="dxa" w:w="21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concurrent</w:t>
            </w:r>
          </w:p>
        </w:tc>
        <w:tc>
          <w:tcPr>
            <w:tcW w:type="dxa" w:w="1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$80,000 – $150,000</w:t>
            </w:r>
          </w:p>
        </w:tc>
      </w:tr>
      <w:tr>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1A1612"/>
                <w:sz w:val="20"/>
                <w:szCs w:val="20"/>
              </w:rPr>
              <w:t xml:space="preserve">1E</w:t>
            </w:r>
          </w:p>
        </w:tc>
        <w:tc>
          <w:tcPr>
            <w:tcW w:type="dxa" w:w="40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2A2418"/>
                <w:sz w:val="20"/>
                <w:szCs w:val="20"/>
              </w:rPr>
              <w:t xml:space="preserve">G&amp;A, permits, environmental, reclamation bond</w:t>
            </w:r>
          </w:p>
        </w:tc>
        <w:tc>
          <w:tcPr>
            <w:tcW w:type="dxa" w:w="21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concurrent</w:t>
            </w:r>
          </w:p>
        </w:tc>
        <w:tc>
          <w:tcPr>
            <w:tcW w:type="dxa" w:w="1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$60,000 – $120,000</w:t>
            </w:r>
          </w:p>
        </w:tc>
      </w:tr>
      <w:tr>
        <w:tc>
          <w:tcPr>
            <w:tcW w:type="dxa" w:w="13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b/>
                <w:bCs/>
                <w:color w:val="C5A028"/>
                <w:sz w:val="20"/>
                <w:szCs w:val="20"/>
              </w:rPr>
              <w:t xml:space="preserve">Phase 1 Total</w:t>
            </w:r>
          </w:p>
        </w:tc>
        <w:tc>
          <w:tcPr>
            <w:tcW w:type="dxa" w:w="406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color w:val="F0E8D0"/>
                <w:sz w:val="20"/>
                <w:szCs w:val="20"/>
              </w:rPr>
              <w:t xml:space="preserve">First-pass exploration + drilling program</w:t>
            </w:r>
          </w:p>
        </w:tc>
        <w:tc>
          <w:tcPr>
            <w:tcW w:type="dxa" w:w="21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color w:val="F0E8D0"/>
                <w:sz w:val="20"/>
                <w:szCs w:val="20"/>
              </w:rPr>
              <w:t xml:space="preserve">~6–9 months</w:t>
            </w:r>
          </w:p>
        </w:tc>
        <w:tc>
          <w:tcPr>
            <w:tcW w:type="dxa" w:w="19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b/>
                <w:bCs/>
                <w:color w:val="C5A028"/>
                <w:sz w:val="20"/>
                <w:szCs w:val="20"/>
              </w:rPr>
              <w:t xml:space="preserve">$630,000 – $1,240,000</w:t>
            </w:r>
          </w:p>
        </w:tc>
      </w:tr>
      <w:tr>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1A1612"/>
                <w:sz w:val="20"/>
                <w:szCs w:val="20"/>
              </w:rPr>
              <w:t xml:space="preserve">2A</w:t>
            </w:r>
          </w:p>
        </w:tc>
        <w:tc>
          <w:tcPr>
            <w:tcW w:type="dxa" w:w="40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2A2418"/>
                <w:sz w:val="20"/>
                <w:szCs w:val="20"/>
              </w:rPr>
              <w:t xml:space="preserve">Step-out + infill drilling (15–25 holes, ~3,500–6,000 m)</w:t>
            </w:r>
          </w:p>
        </w:tc>
        <w:tc>
          <w:tcPr>
            <w:tcW w:type="dxa" w:w="21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6–9 months</w:t>
            </w:r>
          </w:p>
        </w:tc>
        <w:tc>
          <w:tcPr>
            <w:tcW w:type="dxa" w:w="1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$1,400,000 – $2,800,000</w:t>
            </w:r>
          </w:p>
        </w:tc>
      </w:tr>
      <w:tr>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1A1612"/>
                <w:sz w:val="20"/>
                <w:szCs w:val="20"/>
              </w:rPr>
              <w:t xml:space="preserve">2B</w:t>
            </w:r>
          </w:p>
        </w:tc>
        <w:tc>
          <w:tcPr>
            <w:tcW w:type="dxa" w:w="40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2A2418"/>
                <w:sz w:val="20"/>
                <w:szCs w:val="20"/>
              </w:rPr>
              <w:t xml:space="preserve">Metallurgical sampling + scoping test work</w:t>
            </w:r>
          </w:p>
        </w:tc>
        <w:tc>
          <w:tcPr>
            <w:tcW w:type="dxa" w:w="21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3–6 months</w:t>
            </w:r>
          </w:p>
        </w:tc>
        <w:tc>
          <w:tcPr>
            <w:tcW w:type="dxa" w:w="1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$200,000 – $400,000</w:t>
            </w:r>
          </w:p>
        </w:tc>
      </w:tr>
      <w:tr>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1A1612"/>
                <w:sz w:val="20"/>
                <w:szCs w:val="20"/>
              </w:rPr>
              <w:t xml:space="preserve">2C</w:t>
            </w:r>
          </w:p>
        </w:tc>
        <w:tc>
          <w:tcPr>
            <w:tcW w:type="dxa" w:w="40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2A2418"/>
                <w:sz w:val="20"/>
                <w:szCs w:val="20"/>
              </w:rPr>
              <w:t xml:space="preserve">Maiden inferred resource estimate (NI 43-101 or SK 1300 compliant)</w:t>
            </w:r>
          </w:p>
        </w:tc>
        <w:tc>
          <w:tcPr>
            <w:tcW w:type="dxa" w:w="21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3–4 months</w:t>
            </w:r>
          </w:p>
        </w:tc>
        <w:tc>
          <w:tcPr>
            <w:tcW w:type="dxa" w:w="1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val="false"/>
                <w:bCs w:val="false"/>
                <w:color w:val="8B6C12"/>
                <w:sz w:val="20"/>
                <w:szCs w:val="20"/>
              </w:rPr>
              <w:t xml:space="preserve">$250,000 – $450,000</w:t>
            </w:r>
          </w:p>
        </w:tc>
      </w:tr>
      <w:tr>
        <w:tc>
          <w:tcPr>
            <w:tcW w:type="dxa" w:w="13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b/>
                <w:bCs/>
                <w:color w:val="C5A028"/>
                <w:sz w:val="20"/>
                <w:szCs w:val="20"/>
              </w:rPr>
              <w:t xml:space="preserve">Phase 2 Total</w:t>
            </w:r>
          </w:p>
        </w:tc>
        <w:tc>
          <w:tcPr>
            <w:tcW w:type="dxa" w:w="406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color w:val="F0E8D0"/>
                <w:sz w:val="20"/>
                <w:szCs w:val="20"/>
              </w:rPr>
              <w:t xml:space="preserve">Resource definition program</w:t>
            </w:r>
          </w:p>
        </w:tc>
        <w:tc>
          <w:tcPr>
            <w:tcW w:type="dxa" w:w="21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color w:val="F0E8D0"/>
                <w:sz w:val="20"/>
                <w:szCs w:val="20"/>
              </w:rPr>
              <w:t xml:space="preserve">~12 months</w:t>
            </w:r>
          </w:p>
        </w:tc>
        <w:tc>
          <w:tcPr>
            <w:tcW w:type="dxa" w:w="19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b/>
                <w:bCs/>
                <w:color w:val="C5A028"/>
                <w:sz w:val="20"/>
                <w:szCs w:val="20"/>
              </w:rPr>
              <w:t xml:space="preserve">$1,850,000 – $3,650,000</w:t>
            </w:r>
          </w:p>
        </w:tc>
      </w:tr>
      <w:tr>
        <w:tc>
          <w:tcPr>
            <w:tcW w:type="dxa" w:w="13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b/>
                <w:bCs/>
                <w:color w:val="C5A028"/>
                <w:sz w:val="20"/>
                <w:szCs w:val="20"/>
              </w:rPr>
              <w:t xml:space="preserve">3</w:t>
            </w:r>
          </w:p>
        </w:tc>
        <w:tc>
          <w:tcPr>
            <w:tcW w:type="dxa" w:w="406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left"/>
            </w:pPr>
            <w:r>
              <w:rPr>
                <w:rFonts w:ascii="Calibri" w:cs="Calibri" w:eastAsia="Calibri" w:hAnsi="Calibri"/>
                <w:color w:val="F0E8D0"/>
                <w:sz w:val="20"/>
                <w:szCs w:val="20"/>
              </w:rPr>
              <w:t xml:space="preserve">PEA / scoping study (if Phase 2 defines +100 koz Au inferred)</w:t>
            </w:r>
          </w:p>
        </w:tc>
        <w:tc>
          <w:tcPr>
            <w:tcW w:type="dxa" w:w="21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color w:val="F0E8D0"/>
                <w:sz w:val="20"/>
                <w:szCs w:val="20"/>
              </w:rPr>
              <w:t xml:space="preserve">6–9 months</w:t>
            </w:r>
          </w:p>
        </w:tc>
        <w:tc>
          <w:tcPr>
            <w:tcW w:type="dxa" w:w="1900"/>
            <w:tcBorders>
              <w:top w:val="single" w:color="D8D0B5" w:sz="4"/>
              <w:left w:val="single" w:color="D8D0B5" w:sz="4"/>
              <w:bottom w:val="single" w:color="D8D0B5" w:sz="4"/>
              <w:right w:val="single" w:color="D8D0B5" w:sz="4"/>
            </w:tcBorders>
            <w:shd w:fill="1A1612" w:val="clear"/>
            <w:tcMar>
              <w:top w:type="dxa" w:w="100"/>
              <w:left w:type="dxa" w:w="140"/>
              <w:bottom w:type="dxa" w:w="100"/>
              <w:right w:type="dxa" w:w="140"/>
            </w:tcMar>
          </w:tcPr>
          <w:p>
            <w:pPr>
              <w:jc w:val="center"/>
            </w:pPr>
            <w:r>
              <w:rPr>
                <w:rFonts w:ascii="Calibri" w:cs="Calibri" w:eastAsia="Calibri" w:hAnsi="Calibri"/>
                <w:b/>
                <w:bCs/>
                <w:color w:val="C5A028"/>
                <w:sz w:val="20"/>
                <w:szCs w:val="20"/>
              </w:rPr>
              <w:t xml:space="preserve">$600,000 – $1,200,000</w:t>
            </w:r>
          </w:p>
        </w:tc>
      </w:tr>
    </w:tbl>
    <w:p>
      <w:pPr>
        <w:spacing w:after="120"/>
      </w:pPr>
    </w:p>
    <w:p>
      <w:pPr>
        <w:spacing w:after="200"/>
      </w:pPr>
      <w:r>
        <w:rPr>
          <w:rFonts w:ascii="Calibri" w:cs="Calibri" w:eastAsia="Calibri" w:hAnsi="Calibri"/>
          <w:i/>
          <w:iCs/>
          <w:color w:val="7A7460"/>
          <w:sz w:val="18"/>
          <w:szCs w:val="18"/>
        </w:rPr>
        <w:t xml:space="preserve">Drilling at USD 175–325/m for RC and USD 250–400/m for HQ core. Geophysics at USD 80–150/station. Idaho permitting and reclamation bonding included in G&amp;A. Rates current as of mid-2025; assume +5–10% per year contractor inflation.</w:t>
      </w:r>
    </w:p>
    <w:p>
      <w:pPr>
        <w:pStyle w:val="Heading1"/>
        <w:spacing w:after="180" w:before="360"/>
      </w:pPr>
      <w:r>
        <w:rPr>
          <w:rFonts w:ascii="Georgia" w:cs="Georgia" w:eastAsia="Georgia" w:hAnsi="Georgia"/>
          <w:b/>
          <w:bCs/>
          <w:color w:val="1A1612"/>
          <w:sz w:val="32"/>
          <w:szCs w:val="32"/>
        </w:rPr>
        <w:t xml:space="preserve">Metal Price and Variable Assumptions</w:t>
      </w:r>
    </w:p>
    <w:p>
      <w:pPr>
        <w:spacing w:after="140" w:line="320"/>
        <w:jc w:val="both"/>
      </w:pPr>
      <w:r>
        <w:rPr>
          <w:rFonts w:ascii="Calibri" w:cs="Calibri" w:eastAsia="Calibri" w:hAnsi="Calibri"/>
          <w:color w:val="2A2418"/>
          <w:sz w:val="22"/>
          <w:szCs w:val="22"/>
        </w:rPr>
        <w:t xml:space="preserve">Three scenarios — Bear, Base, and Bull — are used throughout this analysis. Gold prices reflect recent record highs in 2024–25 with consensus forward curves through 2027. The Base Case nickel-equivalent of USD 2,900/oz represents the mid-point of analyst forecasts as of mid-2025.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680"/>
        <w:gridCol w:w="1680"/>
        <w:gridCol w:w="1680"/>
        <w:gridCol w:w="1980"/>
      </w:tblGrid>
      <w:tr>
        <w:trPr>
          <w:tblHeader/>
        </w:trPr>
        <w:tc>
          <w:tcPr>
            <w:tcW w:type="dxa" w:w="234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Metal / Variable</w:t>
            </w:r>
          </w:p>
        </w:tc>
        <w:tc>
          <w:tcPr>
            <w:tcW w:type="dxa" w:w="168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Bear Case</w:t>
            </w:r>
          </w:p>
        </w:tc>
        <w:tc>
          <w:tcPr>
            <w:tcW w:type="dxa" w:w="168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Base Case</w:t>
            </w:r>
          </w:p>
        </w:tc>
        <w:tc>
          <w:tcPr>
            <w:tcW w:type="dxa" w:w="168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Bull Case</w:t>
            </w:r>
          </w:p>
        </w:tc>
        <w:tc>
          <w:tcPr>
            <w:tcW w:type="dxa" w:w="198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Unit</w:t>
            </w:r>
          </w:p>
        </w:tc>
      </w:tr>
      <w:tr>
        <w:tc>
          <w:tcPr>
            <w:tcW w:type="dxa" w:w="234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Gold (LBMA)</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USD 2,400</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USD 2,900</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USD 3,500</w:t>
            </w:r>
          </w:p>
        </w:tc>
        <w:tc>
          <w:tcPr>
            <w:tcW w:type="dxa" w:w="19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per troy ounce</w:t>
            </w:r>
          </w:p>
        </w:tc>
      </w:tr>
      <w:tr>
        <w:tc>
          <w:tcPr>
            <w:tcW w:type="dxa" w:w="234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2A2418"/>
                <w:sz w:val="20"/>
                <w:szCs w:val="20"/>
              </w:rPr>
              <w:t xml:space="preserve">Silver (LBMA)</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8B2A1A"/>
                <w:sz w:val="20"/>
                <w:szCs w:val="20"/>
              </w:rPr>
              <w:t xml:space="preserve">USD 28</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USD 36</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D6A45"/>
                <w:sz w:val="20"/>
                <w:szCs w:val="20"/>
              </w:rPr>
              <w:t xml:space="preserve">USD 50</w:t>
            </w:r>
          </w:p>
        </w:tc>
        <w:tc>
          <w:tcPr>
            <w:tcW w:type="dxa" w:w="19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8"/>
                <w:szCs w:val="18"/>
              </w:rPr>
              <w:t xml:space="preserve">per troy ounce</w:t>
            </w:r>
          </w:p>
        </w:tc>
      </w:tr>
      <w:tr>
        <w:tc>
          <w:tcPr>
            <w:tcW w:type="dxa" w:w="234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Discount Rate</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8%</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5%</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5%</w:t>
            </w:r>
          </w:p>
        </w:tc>
        <w:tc>
          <w:tcPr>
            <w:tcW w:type="dxa" w:w="19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real, after-tax</w:t>
            </w:r>
          </w:p>
        </w:tc>
      </w:tr>
      <w:tr>
        <w:tc>
          <w:tcPr>
            <w:tcW w:type="dxa" w:w="234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2A2418"/>
                <w:sz w:val="20"/>
                <w:szCs w:val="20"/>
              </w:rPr>
              <w:t xml:space="preserve">AuEq Conversion (Ag→Au)</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8B2A1A"/>
                <w:sz w:val="20"/>
                <w:szCs w:val="20"/>
              </w:rPr>
              <w:t xml:space="preserve">85:1</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80:1</w:t>
            </w:r>
          </w:p>
        </w:tc>
        <w:tc>
          <w:tcPr>
            <w:tcW w:type="dxa" w:w="16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D6A45"/>
                <w:sz w:val="20"/>
                <w:szCs w:val="20"/>
              </w:rPr>
              <w:t xml:space="preserve">70:1</w:t>
            </w:r>
          </w:p>
        </w:tc>
        <w:tc>
          <w:tcPr>
            <w:tcW w:type="dxa" w:w="198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8"/>
                <w:szCs w:val="18"/>
              </w:rPr>
              <w:t xml:space="preserve">Ag oz per Au oz</w:t>
            </w:r>
          </w:p>
        </w:tc>
      </w:tr>
      <w:tr>
        <w:tc>
          <w:tcPr>
            <w:tcW w:type="dxa" w:w="234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USD/CAD FX (reference)</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1.32</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1.36</w:t>
            </w:r>
          </w:p>
        </w:tc>
        <w:tc>
          <w:tcPr>
            <w:tcW w:type="dxa" w:w="16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1.40</w:t>
            </w:r>
          </w:p>
        </w:tc>
        <w:tc>
          <w:tcPr>
            <w:tcW w:type="dxa" w:w="198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8"/>
                <w:szCs w:val="18"/>
              </w:rPr>
              <w:t xml:space="preserve">ratio</w:t>
            </w:r>
          </w:p>
        </w:tc>
      </w:tr>
    </w:tbl>
    <w:p>
      <w:pPr>
        <w:spacing w:after="160"/>
      </w:pPr>
    </w:p>
    <w:p>
      <w:pPr>
        <w:pStyle w:val="Heading1"/>
        <w:spacing w:after="180" w:before="360"/>
      </w:pPr>
      <w:r>
        <w:rPr>
          <w:rFonts w:ascii="Georgia" w:cs="Georgia" w:eastAsia="Georgia" w:hAnsi="Georgia"/>
          <w:b/>
          <w:bCs/>
          <w:color w:val="1A1612"/>
          <w:sz w:val="32"/>
          <w:szCs w:val="32"/>
        </w:rPr>
        <w:t xml:space="preserve">Hypothetical Discovery Scenarios</w:t>
      </w:r>
    </w:p>
    <w:p>
      <w:pPr>
        <w:spacing w:after="140" w:line="320"/>
        <w:jc w:val="both"/>
      </w:pPr>
      <w:r>
        <w:rPr>
          <w:rFonts w:ascii="Calibri" w:cs="Calibri" w:eastAsia="Calibri" w:hAnsi="Calibri"/>
          <w:color w:val="2A2418"/>
          <w:sz w:val="22"/>
          <w:szCs w:val="22"/>
        </w:rPr>
        <w:t xml:space="preserve">The following table illustrates four hypothetical discovery scenarios for Jingo. The first three (Modest, Base, Strong) represent a range of plausible outcomes from a successful Phase 1+2 program. The fourth scenario (Vein-style) represents a focused, high-grade vein resource of the type that historic production grades (1.28 oz/t Au = 39.8 g/t Au) suggest is possible. None of these scenarios is a resource estimate — they are illustrative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300"/>
        <w:gridCol w:w="1300"/>
        <w:gridCol w:w="1300"/>
        <w:gridCol w:w="1500"/>
        <w:gridCol w:w="1200"/>
        <w:gridCol w:w="1200"/>
      </w:tblGrid>
      <w:tr>
        <w:trPr>
          <w:tblHeader/>
        </w:trPr>
        <w:tc>
          <w:tcPr>
            <w:tcW w:type="dxa" w:w="156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Scenario</w:t>
            </w:r>
          </w:p>
        </w:tc>
        <w:tc>
          <w:tcPr>
            <w:tcW w:type="dxa" w:w="13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Tonnes</w:t>
            </w:r>
          </w:p>
        </w:tc>
        <w:tc>
          <w:tcPr>
            <w:tcW w:type="dxa" w:w="13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Au g/t</w:t>
            </w:r>
          </w:p>
        </w:tc>
        <w:tc>
          <w:tcPr>
            <w:tcW w:type="dxa" w:w="13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Ag g/t</w:t>
            </w:r>
          </w:p>
        </w:tc>
        <w:tc>
          <w:tcPr>
            <w:tcW w:type="dxa" w:w="15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AuEq g/t</w:t>
            </w:r>
          </w:p>
        </w:tc>
        <w:tc>
          <w:tcPr>
            <w:tcW w:type="dxa" w:w="12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Au oz</w:t>
            </w:r>
          </w:p>
        </w:tc>
        <w:tc>
          <w:tcPr>
            <w:tcW w:type="dxa" w:w="12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In-situ Value</w:t>
            </w:r>
          </w:p>
        </w:tc>
      </w:tr>
      <w:tr>
        <w:tc>
          <w:tcPr>
            <w:tcW w:type="dxa" w:w="15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8B6C12"/>
                <w:sz w:val="20"/>
                <w:szCs w:val="20"/>
              </w:rPr>
              <w:t xml:space="preserve">Modest</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200,000 t</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8.0</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50</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~8.6</w:t>
            </w:r>
          </w:p>
        </w:tc>
        <w:tc>
          <w:tcPr>
            <w:tcW w:type="dxa" w:w="12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1A1612"/>
                <w:sz w:val="20"/>
                <w:szCs w:val="20"/>
              </w:rPr>
              <w:t xml:space="preserve">51,000 oz</w:t>
            </w:r>
          </w:p>
        </w:tc>
        <w:tc>
          <w:tcPr>
            <w:tcW w:type="dxa" w:w="12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D6A45"/>
                <w:sz w:val="20"/>
                <w:szCs w:val="20"/>
              </w:rPr>
              <w:t xml:space="preserve">~USD 150M</w:t>
            </w:r>
          </w:p>
        </w:tc>
      </w:tr>
      <w:tr>
        <w:tc>
          <w:tcPr>
            <w:tcW w:type="dxa" w:w="15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8B6C12"/>
                <w:sz w:val="20"/>
                <w:szCs w:val="20"/>
              </w:rPr>
              <w:t xml:space="preserve">Base</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500,000 t</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10.0</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60</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~10.75</w:t>
            </w:r>
          </w:p>
        </w:tc>
        <w:tc>
          <w:tcPr>
            <w:tcW w:type="dxa" w:w="12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1A1612"/>
                <w:sz w:val="20"/>
                <w:szCs w:val="20"/>
              </w:rPr>
              <w:t xml:space="preserve">161,000 oz</w:t>
            </w:r>
          </w:p>
        </w:tc>
        <w:tc>
          <w:tcPr>
            <w:tcW w:type="dxa" w:w="12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D6A45"/>
                <w:sz w:val="20"/>
                <w:szCs w:val="20"/>
              </w:rPr>
              <w:t xml:space="preserve">~USD 467M</w:t>
            </w:r>
          </w:p>
        </w:tc>
      </w:tr>
      <w:tr>
        <w:tc>
          <w:tcPr>
            <w:tcW w:type="dxa" w:w="15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8B6C12"/>
                <w:sz w:val="20"/>
                <w:szCs w:val="20"/>
              </w:rPr>
              <w:t xml:space="preserve">Strong</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1,000,000 t</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12.0</w:t>
            </w:r>
          </w:p>
        </w:tc>
        <w:tc>
          <w:tcPr>
            <w:tcW w:type="dxa" w:w="13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80</w:t>
            </w:r>
          </w:p>
        </w:tc>
        <w:tc>
          <w:tcPr>
            <w:tcW w:type="dxa" w:w="15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~13.0</w:t>
            </w:r>
          </w:p>
        </w:tc>
        <w:tc>
          <w:tcPr>
            <w:tcW w:type="dxa" w:w="12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1A1612"/>
                <w:sz w:val="20"/>
                <w:szCs w:val="20"/>
              </w:rPr>
              <w:t xml:space="preserve">386,000 oz</w:t>
            </w:r>
          </w:p>
        </w:tc>
        <w:tc>
          <w:tcPr>
            <w:tcW w:type="dxa" w:w="12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D6A45"/>
                <w:sz w:val="20"/>
                <w:szCs w:val="20"/>
              </w:rPr>
              <w:t xml:space="preserve">~USD 1.12B</w:t>
            </w:r>
          </w:p>
        </w:tc>
      </w:tr>
      <w:tr>
        <w:tc>
          <w:tcPr>
            <w:tcW w:type="dxa" w:w="15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8B6C12"/>
                <w:sz w:val="20"/>
                <w:szCs w:val="20"/>
              </w:rPr>
              <w:t xml:space="preserve">Vein-style ★</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300,000 t</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15.0</w:t>
            </w:r>
          </w:p>
        </w:tc>
        <w:tc>
          <w:tcPr>
            <w:tcW w:type="dxa" w:w="13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100</w:t>
            </w:r>
          </w:p>
        </w:tc>
        <w:tc>
          <w:tcPr>
            <w:tcW w:type="dxa" w:w="15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~16.25</w:t>
            </w:r>
          </w:p>
        </w:tc>
        <w:tc>
          <w:tcPr>
            <w:tcW w:type="dxa" w:w="12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1A1612"/>
                <w:sz w:val="20"/>
                <w:szCs w:val="20"/>
              </w:rPr>
              <w:t xml:space="preserve">145,000 oz</w:t>
            </w:r>
          </w:p>
        </w:tc>
        <w:tc>
          <w:tcPr>
            <w:tcW w:type="dxa" w:w="12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D6A45"/>
                <w:sz w:val="20"/>
                <w:szCs w:val="20"/>
              </w:rPr>
              <w:t xml:space="preserve">~USD 420M</w:t>
            </w:r>
          </w:p>
        </w:tc>
      </w:tr>
    </w:tbl>
    <w:p>
      <w:pPr>
        <w:spacing w:after="120"/>
      </w:pPr>
    </w:p>
    <w:p>
      <w:pPr>
        <w:spacing w:after="200"/>
      </w:pPr>
      <w:r>
        <w:rPr>
          <w:rFonts w:ascii="Calibri" w:cs="Calibri" w:eastAsia="Calibri" w:hAnsi="Calibri"/>
          <w:i/>
          <w:iCs/>
          <w:color w:val="7A7460"/>
          <w:sz w:val="18"/>
          <w:szCs w:val="18"/>
        </w:rPr>
        <w:t xml:space="preserve">AuEq calculated at Base Case prices using Ag→Au at 80:1. In-situ value = AuEq oz × USD 2,900/oz, gross undiscounted. NO recovery, processing, or capital cost deductions applied — this is an order-of-magnitude indicator of contained metal value only.</w:t>
      </w:r>
    </w:p>
    <w:p>
      <w:pPr>
        <w:pStyle w:val="Heading1"/>
        <w:spacing w:after="180" w:before="360"/>
      </w:pPr>
      <w:r>
        <w:rPr>
          <w:rFonts w:ascii="Georgia" w:cs="Georgia" w:eastAsia="Georgia" w:hAnsi="Georgia"/>
          <w:b/>
          <w:bCs/>
          <w:color w:val="1A1612"/>
          <w:sz w:val="32"/>
          <w:szCs w:val="32"/>
        </w:rPr>
        <w:t xml:space="preserve">Acquirer Return Analysis</w:t>
      </w:r>
    </w:p>
    <w:p>
      <w:pPr>
        <w:spacing w:after="140" w:line="320"/>
        <w:jc w:val="both"/>
      </w:pPr>
      <w:r>
        <w:rPr>
          <w:rFonts w:ascii="Calibri" w:cs="Calibri" w:eastAsia="Calibri" w:hAnsi="Calibri"/>
          <w:color w:val="2A2418"/>
          <w:sz w:val="22"/>
          <w:szCs w:val="22"/>
        </w:rPr>
        <w:t xml:space="preserve">The table below illustrates the potential market-capitalisation re-rating to an acquiring party that funds a Phase 1 + Phase 2 exploration program through to a maiden NI 43-101 or SK 1300 inferred resource. Market valuations are based on $/oz Au valuations observed in early-stage Idaho and Nevada precious-metal exploration companies on the TSX-V, CSE, and OTC markets in 2023–25.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1620"/>
        <w:gridCol w:w="1620"/>
        <w:gridCol w:w="1620"/>
        <w:gridCol w:w="1600"/>
      </w:tblGrid>
      <w:tr>
        <w:trPr>
          <w:tblHeader/>
        </w:trPr>
        <w:tc>
          <w:tcPr>
            <w:tcW w:type="dxa" w:w="29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Metric</w:t>
            </w:r>
          </w:p>
        </w:tc>
        <w:tc>
          <w:tcPr>
            <w:tcW w:type="dxa" w:w="162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Modest</w:t>
            </w:r>
          </w:p>
        </w:tc>
        <w:tc>
          <w:tcPr>
            <w:tcW w:type="dxa" w:w="162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Base</w:t>
            </w:r>
          </w:p>
        </w:tc>
        <w:tc>
          <w:tcPr>
            <w:tcW w:type="dxa" w:w="162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Strong</w:t>
            </w:r>
          </w:p>
        </w:tc>
        <w:tc>
          <w:tcPr>
            <w:tcW w:type="dxa" w:w="16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Notes</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Discovery cost (P1+P2 USD)</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$2.5M</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$3.5M</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$5.0M</w:t>
            </w:r>
          </w:p>
        </w:tc>
        <w:tc>
          <w:tcPr>
            <w:tcW w:type="dxa" w:w="16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7"/>
                <w:szCs w:val="17"/>
              </w:rPr>
              <w:t xml:space="preserve">Direct exploration</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2A2418"/>
                <w:sz w:val="20"/>
                <w:szCs w:val="20"/>
              </w:rPr>
              <w:t xml:space="preserve">Implied resource (Au oz)</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8B2A1A"/>
                <w:sz w:val="20"/>
                <w:szCs w:val="20"/>
              </w:rPr>
              <w:t xml:space="preserve">51,000</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161,000</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D6A45"/>
                <w:sz w:val="20"/>
                <w:szCs w:val="20"/>
              </w:rPr>
              <w:t xml:space="preserve">386,000</w:t>
            </w:r>
          </w:p>
        </w:tc>
        <w:tc>
          <w:tcPr>
            <w:tcW w:type="dxa" w:w="16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7"/>
                <w:szCs w:val="17"/>
              </w:rPr>
              <w:t xml:space="preserve">Hypothetical</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Implied $/oz discovery cost</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$49/oz</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$22/oz</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$13/oz</w:t>
            </w:r>
          </w:p>
        </w:tc>
        <w:tc>
          <w:tcPr>
            <w:tcW w:type="dxa" w:w="16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7"/>
                <w:szCs w:val="17"/>
              </w:rPr>
              <w:t xml:space="preserve">Industry avg $50–100</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2A2418"/>
                <w:sz w:val="20"/>
                <w:szCs w:val="20"/>
              </w:rPr>
              <w:t xml:space="preserve">Market $/oz (junior valuation)</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8B2A1A"/>
                <w:sz w:val="20"/>
                <w:szCs w:val="20"/>
              </w:rPr>
              <w:t xml:space="preserve">$50/oz</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$85/oz</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D6A45"/>
                <w:sz w:val="20"/>
                <w:szCs w:val="20"/>
              </w:rPr>
              <w:t xml:space="preserve">$120/oz</w:t>
            </w:r>
          </w:p>
        </w:tc>
        <w:tc>
          <w:tcPr>
            <w:tcW w:type="dxa" w:w="16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7"/>
                <w:szCs w:val="17"/>
              </w:rPr>
              <w:t xml:space="preserve">Idaho/Nevada juniors</w:t>
            </w:r>
          </w:p>
        </w:tc>
      </w:tr>
      <w:tr>
        <w:tc>
          <w:tcPr>
            <w:tcW w:type="dxa" w:w="29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b/>
                <w:bCs/>
                <w:color w:val="2A2418"/>
                <w:sz w:val="20"/>
                <w:szCs w:val="20"/>
              </w:rPr>
              <w:t xml:space="preserve">Implied market cap post-discovery</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8B2A1A"/>
                <w:sz w:val="20"/>
                <w:szCs w:val="20"/>
              </w:rPr>
              <w:t xml:space="preserve">$2.6M</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$13.7M</w:t>
            </w:r>
          </w:p>
        </w:tc>
        <w:tc>
          <w:tcPr>
            <w:tcW w:type="dxa" w:w="162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D6A45"/>
                <w:sz w:val="20"/>
                <w:szCs w:val="20"/>
              </w:rPr>
              <w:t xml:space="preserve">$46.3M</w:t>
            </w:r>
          </w:p>
        </w:tc>
        <w:tc>
          <w:tcPr>
            <w:tcW w:type="dxa" w:w="16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7"/>
                <w:szCs w:val="17"/>
              </w:rPr>
              <w:t xml:space="preserve">Pre-PEA range</w:t>
            </w:r>
          </w:p>
        </w:tc>
      </w:tr>
      <w:tr>
        <w:tc>
          <w:tcPr>
            <w:tcW w:type="dxa" w:w="29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b/>
                <w:bCs/>
                <w:color w:val="2A2418"/>
                <w:sz w:val="20"/>
                <w:szCs w:val="20"/>
              </w:rPr>
              <w:t xml:space="preserve">Uplift from Phase 1 cost (~$1M)</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8B2A1A"/>
                <w:sz w:val="20"/>
                <w:szCs w:val="20"/>
              </w:rPr>
              <w:t xml:space="preserve">2.6×</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2A2418"/>
                <w:sz w:val="20"/>
                <w:szCs w:val="20"/>
              </w:rPr>
              <w:t xml:space="preserve">13.7×</w:t>
            </w:r>
          </w:p>
        </w:tc>
        <w:tc>
          <w:tcPr>
            <w:tcW w:type="dxa" w:w="162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D6A45"/>
                <w:sz w:val="20"/>
                <w:szCs w:val="20"/>
              </w:rPr>
              <w:t xml:space="preserve">46.3×</w:t>
            </w:r>
          </w:p>
        </w:tc>
        <w:tc>
          <w:tcPr>
            <w:tcW w:type="dxa" w:w="16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7"/>
                <w:szCs w:val="17"/>
              </w:rPr>
              <w:t xml:space="preserve">Return on capital</w:t>
            </w:r>
          </w:p>
        </w:tc>
      </w:tr>
    </w:tbl>
    <w:p>
      <w:pPr>
        <w:spacing w:after="120"/>
      </w:pPr>
    </w:p>
    <w:p>
      <w:pPr>
        <w:spacing w:after="200"/>
      </w:pPr>
      <w:r>
        <w:rPr>
          <w:rFonts w:ascii="Calibri" w:cs="Calibri" w:eastAsia="Calibri" w:hAnsi="Calibri"/>
          <w:i/>
          <w:iCs/>
          <w:color w:val="7A7460"/>
          <w:sz w:val="18"/>
          <w:szCs w:val="18"/>
        </w:rPr>
        <w:t xml:space="preserve">Market cap valuations are illustrative only, based on $/oz Au transaction and trading multiples for pre-PEA Idaho/Nevada/Mountain West gold juniors. Actual returns depend on resource grade, size, metallurgy, capital markets conditions, and deal structure.</w:t>
      </w:r>
    </w:p>
    <w:p>
      <w:pPr>
        <w:pStyle w:val="Heading1"/>
        <w:spacing w:after="180" w:before="360"/>
      </w:pPr>
      <w:r>
        <w:rPr>
          <w:rFonts w:ascii="Georgia" w:cs="Georgia" w:eastAsia="Georgia" w:hAnsi="Georgia"/>
          <w:b/>
          <w:bCs/>
          <w:color w:val="1A1612"/>
          <w:sz w:val="32"/>
          <w:szCs w:val="32"/>
        </w:rPr>
        <w:t xml:space="preserve">Operating Cost Benchmarks (Reference Only)</w:t>
      </w:r>
    </w:p>
    <w:p>
      <w:pPr>
        <w:spacing w:after="140" w:line="320"/>
        <w:jc w:val="both"/>
      </w:pPr>
      <w:r>
        <w:rPr>
          <w:rFonts w:ascii="Calibri" w:cs="Calibri" w:eastAsia="Calibri" w:hAnsi="Calibri"/>
          <w:color w:val="2A2418"/>
          <w:sz w:val="22"/>
          <w:szCs w:val="22"/>
        </w:rPr>
        <w:t xml:space="preserve">For reference in understanding the economics of a potential future Jingo operation, the following benchmarks reflect typical underground narrow-vein gold mine parameters in the western U.S., based on public disclosures by comparable operators: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Mining Method</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Underground shrinkage stoping or cut-and-fill, typical for narrow steep veins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Underground Mining Cost</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USD 80–150 / tonne mined</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Processing — gravity + flotation</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USD 25–45 / tonne milled</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G&amp;A</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USD 15–30 / tonne mined</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Toll milling option</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Multiple custom mills active in Idaho/Nevada (USD 80–150/t toll)</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Smelter / refining</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Existing precious metal smelters in U.S. and Canada</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AISC (typical narrow-vein gold)</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USD 1,200 – 1,800 / oz Au (mid-range)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Mine cash margin at $2,900/oz</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USD 1,100 – 1,700 / oz Au</w:t>
            </w:r>
          </w:p>
        </w:tc>
      </w:tr>
    </w:tbl>
    <w:p>
      <w:pPr>
        <w:spacing w:after="120"/>
      </w:pPr>
    </w:p>
    <w:p>
      <w:pPr>
        <w:spacing w:after="140" w:line="320"/>
        <w:jc w:val="both"/>
      </w:pPr>
      <w:r>
        <w:rPr>
          <w:rFonts w:ascii="Calibri" w:cs="Calibri" w:eastAsia="Calibri" w:hAnsi="Calibri"/>
          <w:color w:val="2A2418"/>
          <w:sz w:val="22"/>
          <w:szCs w:val="22"/>
        </w:rPr>
        <w:t xml:space="preserve">Narrow-vein high-grade gold mines in the western U.S. (e.g. Lucky Friday, Hecla; DeLamar, Integra; historic Atlanta district) routinely achieve robust cash margins at current gold prices, with ore grades of 8–20 g/t Au capable of supporting underground operations at modest scale (50,000–500,000 oz Au per project).</w:t>
      </w:r>
    </w:p>
    <w:p>
      <w:pPr>
        <w:pStyle w:val="Heading1"/>
        <w:spacing w:after="180" w:before="360"/>
      </w:pPr>
      <w:r>
        <w:rPr>
          <w:rFonts w:ascii="Georgia" w:cs="Georgia" w:eastAsia="Georgia" w:hAnsi="Georgia"/>
          <w:b/>
          <w:bCs/>
          <w:color w:val="1A1612"/>
          <w:sz w:val="32"/>
          <w:szCs w:val="32"/>
        </w:rPr>
        <w:t xml:space="preserve">U.S. &amp; State Tax Considerations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Federal Corporate Tax</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21% (Tax Cuts and Jobs Act, 2017)</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Idaho Corporate Income Tax</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5.695% (rate as of 2024, subject to change)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Mining Exploration Expense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Section 617 — current deduction or election to capitalize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Section 1202 QSBS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Potential applicability for qualifying junior companies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Depletion Allowance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Percentage depletion (15% for most gold) or cost depletion</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Idaho Mine License Tax</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1% of net value of gold/silver mined (subject to deductions)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Section 1031 / Like-Kind Exchange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Limited applicability to real property (mining claims)</w:t>
            </w:r>
          </w:p>
        </w:tc>
      </w:tr>
    </w:tbl>
    <w:p>
      <w:pPr>
        <w:pStyle w:val="Heading1"/>
        <w:spacing w:after="180" w:before="360"/>
      </w:pPr>
      <w:r>
        <w:rPr>
          <w:rFonts w:ascii="Georgia" w:cs="Georgia" w:eastAsia="Georgia" w:hAnsi="Georgia"/>
          <w:b/>
          <w:bCs/>
          <w:color w:val="1A1612"/>
          <w:sz w:val="32"/>
          <w:szCs w:val="32"/>
        </w:rPr>
        <w:t xml:space="preserve">Available Incentive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Federal Critical Minerals (DOE/DOD)</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Various grant and offtake programs for critical minerals (gold not classified)</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Idaho Department of Lands grants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Limited grant programs for exploration in distressed mining areas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DOE Loan Programs (Title XVII)</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Available for critical minerals and advanced project development</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EXIM Bank financing</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Export-Import Bank financing for U.S.-mined precious metals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State/County tax abatements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Negotiated incentives may be available for advanced operations</w:t>
            </w:r>
          </w:p>
        </w:tc>
      </w:tr>
    </w:tbl>
    <w:p>
      <w:pPr>
        <w:spacing w:after="200"/>
      </w:pPr>
    </w:p>
    <w:p>
      <w:pPr>
        <w:pBdr>
          <w:top w:val="single" w:color="C5A028" w:sz="8" w:space="6"/>
        </w:pBdr>
        <w:spacing w:after="80" w:before="240"/>
      </w:pPr>
      <w:r>
        <w:rPr>
          <w:rFonts w:ascii="Calibri" w:cs="Calibri" w:eastAsia="Calibri" w:hAnsi="Calibri"/>
          <w:b/>
          <w:bCs/>
          <w:color w:val="7A7460"/>
          <w:spacing w:val="60"/>
          <w:sz w:val="18"/>
          <w:szCs w:val="18"/>
        </w:rPr>
        <w:t xml:space="preserve">DISCLAIMER</w:t>
      </w:r>
    </w:p>
    <w:p>
      <w:pPr>
        <w:spacing w:after="80" w:line="280"/>
        <w:jc w:val="both"/>
      </w:pPr>
      <w:r>
        <w:rPr>
          <w:rFonts w:ascii="Calibri" w:cs="Calibri" w:eastAsia="Calibri" w:hAnsi="Calibri"/>
          <w:i/>
          <w:iCs/>
          <w:color w:val="7A7460"/>
          <w:sz w:val="18"/>
          <w:szCs w:val="18"/>
        </w:rPr>
        <w:t xml:space="preserve">This analysis is prepared for indicative purposes only and does not constitute an NI 43-101 / SK 1300 technical report, PEA, pre-feasibility study, feasibility study, or investment advice. No mineral resource or reserve has been estimated at Jingo. All resource scenarios, financial projections, and return calculations are hypothetical and forward-looking statements subject to material risks. Metal prices, exchange rates, operating costs, recoveries, and tax treatments are assumptions only. Past exploration results at adjacent properties are not necessarily indicative of the results that may be obtained at Jingo. Prospective parties must conduct independent due diligence with qualified technical, legal, and financial advisors.</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0"/>
        <w:sz w:val="16"/>
        <w:szCs w:val="16"/>
      </w:rPr>
      <w:t xml:space="preserve">Financial Analysis  •  Page </w:t>
    </w:r>
    <w:r>
      <w:rPr>
        <w:rFonts w:ascii="Calibri" w:cs="Calibri" w:eastAsia="Calibri" w:hAnsi="Calibri"/>
        <w:color w:val="7A74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7A7460"/>
        <w:spacing w:val="40"/>
        <w:sz w:val="16"/>
        <w:szCs w:val="16"/>
      </w:rPr>
      <w:t xml:space="preserve">JINGO GOLD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8B6C12"/>
        <w:sz w:val="16"/>
        <w:szCs w:val="16"/>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Jingo Gold — Indicative Financial Analysis</dc:title>
  <dc:creator>Jingo Data Room</dc:creator>
  <cp:lastModifiedBy>Un-named</cp:lastModifiedBy>
  <cp:revision>1</cp:revision>
  <dcterms:created xsi:type="dcterms:W3CDTF">2026-05-16T18:08:52.577Z</dcterms:created>
  <dcterms:modified xsi:type="dcterms:W3CDTF">2026-05-16T18:08:52.577Z</dcterms:modified>
</cp:coreProperties>
</file>

<file path=docProps/custom.xml><?xml version="1.0" encoding="utf-8"?>
<Properties xmlns="http://schemas.openxmlformats.org/officeDocument/2006/custom-properties" xmlns:vt="http://schemas.openxmlformats.org/officeDocument/2006/docPropsVTypes"/>
</file>