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7A7460"/>
          <w:spacing w:val="60"/>
          <w:sz w:val="17"/>
          <w:szCs w:val="17"/>
        </w:rPr>
        <w:t xml:space="preserve">DUE DILIGENCE CHECKLIST — DOCUMENT 08.1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1A1612"/>
          <w:sz w:val="48"/>
          <w:szCs w:val="48"/>
        </w:rPr>
        <w:t xml:space="preserve">Due Diligence Checklist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8B6C12"/>
          <w:sz w:val="26"/>
          <w:szCs w:val="26"/>
        </w:rPr>
        <w:t xml:space="preserve">Jingo Gold Project — Structured Review Framework for Prospective Acquirers</w:t>
      </w:r>
    </w:p>
    <w:p>
      <w:pPr>
        <w:pBdr>
          <w:bottom w:val="single" w:color="C5A028" w:sz="24" w:space="1"/>
        </w:pBdr>
        <w:spacing w:after="240"/>
      </w:pP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Status: Available = covered by current data room  •  Partial = partially addressed  •  Open = requires independent work.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Priority: Critical = must be completed before transaction  •  High = complete in first 60 days  •  Medium = within 6 months  •  Low = ongoing.</w:t>
      </w:r>
    </w:p>
    <w:p>
      <w:pPr>
        <w:spacing w:after="120"/>
      </w:pPr>
    </w:p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1.  LAND TENURE &amp; MINING CLAIMS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BLM LR2000 search confirming current registered holder of all claims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Elmore County Recorder title search and claim location notices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Annual maintenance fee or affidavit of labor filings confirmed current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No claims in default, lapsed, or subject to dispute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Claim boundary coordinates and polygons (GIS)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Encumbrances: NSR royalties, back-in rights, options, prior owner agreements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Surface rights status confirmed (BLM federal — typical)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Adjacent and overlapping claim status (no staking conflicts)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Mineral patent applications or split-estate issues reviewed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2.  GEOLOGY &amp; MINERALISATION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Geological summary compiled from historic and recent reports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Historic sampling records compiled (1933 production, 1985–86 sampling)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Independent QP site visit and underground inspection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Modern channel sampling under QA/QC of historic underground exposures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Twin sampling of high-grade historic sample locations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Petrology / ore microscopy on representative samples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Underground survey of historic workings (modern accuracy)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3D geological model integrating historic underground data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3.  EXPLORATION DATA &amp;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Full digital data package: assay certs, sample logs, field notes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Original Boise Assayer &amp; Metallurgy assay certificates (1985–86)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Sunshine Mining Co. and other operator field reports from 1980s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Partial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Historic underground survey data and adit/drift maps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1933 shipping ore records (smelter assays, settlement statements)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All historic drill records (if any documented)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4.  PERMITTING &amp; REGULATORY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BLM permitting status: Notice of Operations / Plan of Operations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Outstanding reclamation obligations or bonds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Idaho DEQ compliance status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Idaho Department of Lands records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Phase 1 NOI/PoO timeline and requirements (in geological summary)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NEPA review applicability for Phase 1 program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Cultural / archaeological Section 106 review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Tribal consultation requirements (Shoshone-Bannock, Shoshone-Paiute)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5.  ENVIRONMENTAL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Phase I Environmental Site Assessment (ESA)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Surface water quality baseline (Boise River basin)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Acid-rock drainage / metal leach screening on existing material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Species at risk screening (sage grouse and other Idaho SAR)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Historic adit / shaft mouth condition and water management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Existing dump material characterization (PAG vs non-PAG)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6.  INFRASTRUCTURE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Road access assessment and ground condition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Partial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Idaho power grid connection feasibility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Water rights and availability for drilling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Camp/accommodation plan for Phase 1 crew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Nearest assay laboratory (Idaho-area certified labs)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Idaho drilling contractor availability and pricing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7.  FINANCIAL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Indicative financial analysis and scenario modelling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Comparable transaction analysis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Phase 1 program budget detailed and costed by a QP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Idaho/federal tax structure reviewed with tax counsel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Deal structure agreed (cash, option, JV, share consideration)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Outstanding vendor financial obligations on the property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Vendor entity tax structure and capacity to transact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8.  LEGAL &amp; CORPORATE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Vendor entity corporate search and good standing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All prior agreements, LOIs, MOUs on the property reviewed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Representations and warranties reviewed by legal counsel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No litigation, arbitration, or disputes involving the property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Transaction structure: asset purchase vs share purchase vs option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Escrow and closing conditions defined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Finder's fee, commission, or third-party entitlements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U.S. Hart-Scott-Rodino antitrust notification (if applicable)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</w:tbl>
    <w:p>
      <w:pPr>
        <w:pBdr>
          <w:bottom w:val="single" w:color="C5A028" w:sz="12" w:space="4"/>
        </w:pBdr>
        <w:spacing w:after="160" w:before="34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9.  TECHNICAL REPORTS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Vendor data sheet and executive summary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Project fact sheet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Geological summary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Historic sampling report (compiled)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Project presentation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746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Independent NI 43-101 / SK 1300 technical report by a QP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QP site visit report (pre-transaction)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Phase 1 drill program design by a QP</w:t>
            </w:r>
          </w:p>
        </w:tc>
        <w:tc>
          <w:tcPr>
            <w:tcW w:type="dxa" w:w="20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spacing w:after="2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Suggested Due Diligence Timeline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Weeks 1–2:  NDA signed, full data room access granted. Begin legal and corporate review (Sections 7, 8). BLM LR2000 search initiated. Elmore County title search.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Weeks 2–4:  QP site visit, underground inspection, and geological review (Section 2). Obtain all digital data (Section 3). Phase I ESA initiated.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Weeks 4–6:  Legal due diligence (Section 8). Environmental site screen complete (Section 5). Phase 1 budget costed by QP.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Weeks 6–10:  QP site visit report issued. LOI or term sheet agreed. Tax structure confirmed.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Weeks 10–14:  Transaction documents drafted and negotiated. Closing conditions satisfied. Tribal and stakeholder engagement commenced if planned.</w:t>
      </w:r>
    </w:p>
    <w:p>
      <w:pPr>
        <w:spacing w:after="180"/>
      </w:pPr>
    </w:p>
    <w:p>
      <w:pPr>
        <w:pBdr>
          <w:top w:val="single" w:color="C5A028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7A7460"/>
          <w:spacing w:val="60"/>
          <w:sz w:val="18"/>
          <w:szCs w:val="18"/>
        </w:rPr>
        <w:t xml:space="preserve">NOTE</w:t>
      </w:r>
    </w:p>
    <w:p>
      <w:pPr>
        <w:spacing w:after="80" w:line="280"/>
      </w:pPr>
      <w:r>
        <w:rPr>
          <w:rFonts w:ascii="Calibri" w:cs="Calibri" w:eastAsia="Calibri" w:hAnsi="Calibri"/>
          <w:i/>
          <w:iCs/>
          <w:color w:val="7A7460"/>
          <w:sz w:val="18"/>
          <w:szCs w:val="18"/>
        </w:rPr>
        <w:t xml:space="preserve">This checklist is a general due diligence guide and does not constitute legal, financial, or technical advice. Prospective parties must engage independent qualified legal counsel, a NI 43-101 / SK 1300 Qualified Person, and appropriate technical and environmental specialists before concluding any transaction.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A1612"/>
          <w:sz w:val="20"/>
          <w:szCs w:val="20"/>
        </w:rPr>
        <w:t xml:space="preserve">Contact: </w:t>
      </w:r>
      <w:r>
        <w:rPr>
          <w:rFonts w:ascii="Calibri" w:cs="Calibri" w:eastAsia="Calibri" w:hAnsi="Calibri"/>
          <w:color w:val="8B6C12"/>
          <w:sz w:val="20"/>
          <w:szCs w:val="20"/>
        </w:rPr>
        <w:t xml:space="preserve">Hugo  |  hugo@kpcapital.com  |  778-985-8685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A7460"/>
        <w:sz w:val="16"/>
        <w:szCs w:val="16"/>
      </w:rPr>
      <w:t xml:space="preserve">Due Diligence Checklist  •  Page </w:t>
    </w:r>
    <w:r>
      <w:rPr>
        <w:rFonts w:ascii="Calibri" w:cs="Calibri" w:eastAsia="Calibri" w:hAnsi="Calibri"/>
        <w:color w:val="7A74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7A7460"/>
        <w:spacing w:val="40"/>
        <w:sz w:val="16"/>
        <w:szCs w:val="16"/>
      </w:rPr>
      <w:t xml:space="preserve">JINGO GOLD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Jingo Gold — Due Diligence Checklist</dc:title>
  <dc:creator>Jingo Data Room</dc:creator>
  <cp:lastModifiedBy>Un-named</cp:lastModifiedBy>
  <cp:revision>1</cp:revision>
  <dcterms:created xsi:type="dcterms:W3CDTF">2026-05-16T18:08:52.776Z</dcterms:created>
  <dcterms:modified xsi:type="dcterms:W3CDTF">2026-05-16T18:08:52.776Z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